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  <w:bookmarkStart w:id="0" w:name="_GoBack"/>
      <w:bookmarkEnd w:id="0"/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ind w:firstLine="0" w:firstLineChars="0"/>
        <w:jc w:val="distribute"/>
        <w:textAlignment w:val="auto"/>
        <w:rPr>
          <w:rFonts w:ascii="文星标宋" w:hAnsi="文星标宋" w:eastAsia="文星标宋"/>
          <w:b/>
          <w:color w:val="FF0000"/>
          <w:w w:val="40"/>
          <w:sz w:val="147"/>
        </w:rPr>
      </w:pPr>
      <w:r>
        <w:rPr>
          <w:rFonts w:hint="eastAsia" w:ascii="文星标宋" w:hAnsi="文星标宋" w:eastAsia="文星标宋"/>
          <w:b/>
          <w:color w:val="FF0000"/>
          <w:w w:val="40"/>
          <w:sz w:val="147"/>
        </w:rPr>
        <w:t>济南市章丘区人民政府办公室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97" w:firstLineChars="100"/>
        <w:textAlignment w:val="auto"/>
        <w:rPr>
          <w:color w:val="000000"/>
        </w:rPr>
      </w:pPr>
    </w:p>
    <w:p>
      <w:pPr>
        <w:pStyle w:val="3"/>
        <w:spacing w:line="1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w w:val="7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398145</wp:posOffset>
                </wp:positionV>
                <wp:extent cx="5615940" cy="0"/>
                <wp:effectExtent l="0" t="9525" r="381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35pt;height:0pt;width:442.2pt;z-index:251660288;mso-width-relative:page;mso-height-relative:page;" filled="f" stroked="t" coordsize="21600,21600" o:gfxdata="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Rd/b71gAAAAYBAAAPAAAAAAAAAAEAIAAAADgAAABkcnMvZG93bnJldi54bWxQ&#10;SwECFAAUAAAACACHTuJAjyOn5uMBAACoAwAADgAAAAAAAAABACAAAAA7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章政办字〔202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济南市章丘区人民政府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办公室</w:t>
      </w:r>
    </w:p>
    <w:p>
      <w:pPr>
        <w:spacing w:line="560" w:lineRule="exact"/>
        <w:ind w:firstLine="0" w:firstLineChars="0"/>
        <w:jc w:val="center"/>
        <w:rPr>
          <w:rFonts w:hint="eastAsia" w:ascii="文星标宋" w:hAnsi="文星标宋" w:eastAsia="文星标宋" w:cs="文星标宋"/>
          <w:spacing w:val="0"/>
          <w:sz w:val="44"/>
          <w:szCs w:val="44"/>
        </w:rPr>
      </w:pPr>
      <w:r>
        <w:rPr>
          <w:rFonts w:hint="eastAsia" w:ascii="文星标宋" w:hAnsi="文星标宋" w:eastAsia="文星标宋" w:cs="文星标宋"/>
          <w:spacing w:val="0"/>
          <w:sz w:val="44"/>
          <w:szCs w:val="44"/>
        </w:rPr>
        <w:t>关于公布202</w:t>
      </w:r>
      <w:r>
        <w:rPr>
          <w:rFonts w:hint="eastAsia" w:ascii="文星标宋" w:hAnsi="文星标宋" w:eastAsia="文星标宋" w:cs="文星标宋"/>
          <w:spacing w:val="0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spacing w:val="0"/>
          <w:sz w:val="44"/>
          <w:szCs w:val="44"/>
        </w:rPr>
        <w:t>年</w:t>
      </w:r>
      <w:r>
        <w:rPr>
          <w:rFonts w:hint="eastAsia" w:ascii="文星标宋" w:hAnsi="文星标宋" w:eastAsia="文星标宋" w:cs="文星标宋"/>
          <w:spacing w:val="0"/>
          <w:sz w:val="44"/>
          <w:szCs w:val="44"/>
          <w:lang w:val="en-US" w:eastAsia="zh-CN"/>
        </w:rPr>
        <w:t>度</w:t>
      </w:r>
      <w:r>
        <w:rPr>
          <w:rFonts w:hint="eastAsia" w:ascii="文星标宋" w:hAnsi="文星标宋" w:eastAsia="文星标宋" w:cs="文星标宋"/>
          <w:spacing w:val="0"/>
          <w:sz w:val="44"/>
          <w:szCs w:val="44"/>
        </w:rPr>
        <w:t>重大行政决策事项目录的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文星标宋" w:hAnsi="文星标宋" w:eastAsia="文星标宋" w:cs="文星标宋"/>
          <w:spacing w:val="0"/>
          <w:sz w:val="44"/>
          <w:szCs w:val="44"/>
        </w:rPr>
        <w:t>通</w:t>
      </w:r>
      <w:r>
        <w:rPr>
          <w:rFonts w:hint="eastAsia" w:ascii="文星标宋" w:hAnsi="文星标宋" w:eastAsia="文星标宋" w:cs="文星标宋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文星标宋" w:hAnsi="文星标宋" w:eastAsia="文星标宋" w:cs="文星标宋"/>
          <w:spacing w:val="0"/>
          <w:sz w:val="44"/>
          <w:szCs w:val="44"/>
        </w:rPr>
        <w:t>知</w:t>
      </w:r>
    </w:p>
    <w:p>
      <w:pPr>
        <w:spacing w:line="560" w:lineRule="exact"/>
        <w:ind w:firstLine="0" w:firstLineChars="0"/>
        <w:rPr>
          <w:rFonts w:hint="eastAsia" w:ascii="仿宋_GB2312" w:hAnsi="黑体"/>
          <w:szCs w:val="32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cs="仿宋_GB2312"/>
          <w:spacing w:val="6"/>
          <w:szCs w:val="32"/>
        </w:rPr>
      </w:pPr>
      <w:r>
        <w:rPr>
          <w:rFonts w:hint="eastAsia" w:ascii="仿宋_GB2312" w:hAnsi="仿宋_GB2312" w:cs="仿宋_GB2312"/>
          <w:spacing w:val="6"/>
          <w:szCs w:val="32"/>
        </w:rPr>
        <w:t>各街道办事处、镇人民政府，区政府各部门</w:t>
      </w:r>
      <w:r>
        <w:rPr>
          <w:rFonts w:hint="eastAsia" w:ascii="仿宋_GB2312" w:hAnsi="仿宋_GB2312" w:cs="仿宋_GB2312"/>
          <w:spacing w:val="6"/>
          <w:szCs w:val="32"/>
          <w:lang w:eastAsia="zh-CN"/>
        </w:rPr>
        <w:t>（</w:t>
      </w:r>
      <w:r>
        <w:rPr>
          <w:rFonts w:hint="eastAsia" w:ascii="仿宋_GB2312" w:hAnsi="仿宋_GB2312" w:cs="仿宋_GB2312"/>
          <w:spacing w:val="6"/>
          <w:szCs w:val="32"/>
          <w:lang w:val="en-US" w:eastAsia="zh-CN"/>
        </w:rPr>
        <w:t>单位</w:t>
      </w:r>
      <w:r>
        <w:rPr>
          <w:rFonts w:hint="eastAsia" w:ascii="仿宋_GB2312" w:hAnsi="仿宋_GB2312" w:cs="仿宋_GB2312"/>
          <w:spacing w:val="6"/>
          <w:szCs w:val="32"/>
          <w:lang w:eastAsia="zh-CN"/>
        </w:rPr>
        <w:t>）</w:t>
      </w:r>
      <w:r>
        <w:rPr>
          <w:rFonts w:hint="eastAsia" w:ascii="仿宋_GB2312" w:hAnsi="仿宋_GB2312" w:cs="仿宋_GB2312"/>
          <w:spacing w:val="6"/>
          <w:szCs w:val="32"/>
        </w:rPr>
        <w:t>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pacing w:val="6"/>
          <w:szCs w:val="32"/>
        </w:rPr>
      </w:pPr>
      <w:r>
        <w:rPr>
          <w:rFonts w:hint="eastAsia" w:ascii="仿宋_GB2312" w:hAnsi="仿宋_GB2312" w:cs="仿宋_GB2312"/>
          <w:spacing w:val="6"/>
          <w:szCs w:val="32"/>
          <w:shd w:val="clear" w:color="auto" w:fill="FFFFFF"/>
        </w:rPr>
        <w:t>为规范重大行政决策行为，促进依法、科学、民主决策，提高决策质量和效率，根据</w:t>
      </w:r>
      <w:r>
        <w:rPr>
          <w:rFonts w:hint="eastAsia" w:ascii="仿宋_GB2312" w:hAnsi="仿宋_GB2312" w:eastAsia="仿宋_GB2312" w:cs="仿宋_GB2312"/>
          <w:spacing w:val="6"/>
          <w:szCs w:val="32"/>
        </w:rPr>
        <w:t>国务院《重大行政决策程序暂行条例》、《山东省重大行政决策程序规定》</w:t>
      </w: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和《济南市重大行政决策程序若干规定》</w:t>
      </w:r>
      <w:r>
        <w:rPr>
          <w:rFonts w:hint="eastAsia" w:ascii="仿宋_GB2312" w:hAnsi="仿宋_GB2312" w:eastAsia="仿宋_GB2312" w:cs="仿宋_GB2312"/>
          <w:spacing w:val="6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Cs w:val="32"/>
        </w:rPr>
        <w:t>筛选出</w:t>
      </w: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一项</w:t>
      </w:r>
      <w:r>
        <w:rPr>
          <w:rFonts w:hint="eastAsia" w:ascii="仿宋_GB2312" w:hAnsi="仿宋_GB2312" w:eastAsia="仿宋_GB2312" w:cs="仿宋_GB2312"/>
          <w:spacing w:val="6"/>
          <w:szCs w:val="32"/>
        </w:rPr>
        <w:t>具有基础性、广泛性影响的重大行政决策事项</w:t>
      </w:r>
      <w:r>
        <w:rPr>
          <w:rFonts w:hint="eastAsia" w:ascii="仿宋_GB2312" w:hAnsi="仿宋_GB2312" w:eastAsia="仿宋_GB2312" w:cs="仿宋_GB2312"/>
          <w:spacing w:val="6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区委、</w:t>
      </w:r>
      <w:r>
        <w:rPr>
          <w:rFonts w:hint="eastAsia" w:ascii="仿宋_GB2312" w:hAnsi="仿宋_GB2312" w:eastAsia="仿宋_GB2312" w:cs="仿宋_GB2312"/>
          <w:spacing w:val="6"/>
          <w:szCs w:val="32"/>
        </w:rPr>
        <w:t>区政府同意，列入济南市章丘区</w:t>
      </w: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6"/>
          <w:szCs w:val="32"/>
        </w:rPr>
        <w:t>政府202</w:t>
      </w: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Cs w:val="32"/>
        </w:rPr>
        <w:t>年度重大行政决策事项目录。具体事项通知如下：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spacing w:val="6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Cs w:val="32"/>
          <w:shd w:val="clear" w:color="auto" w:fill="FFFFFF"/>
        </w:rPr>
        <w:t>一、严格履行程序。</w:t>
      </w:r>
      <w:r>
        <w:rPr>
          <w:rFonts w:hint="eastAsia" w:ascii="仿宋_GB2312" w:hAnsi="仿宋_GB2312" w:eastAsia="仿宋_GB2312" w:cs="仿宋_GB2312"/>
          <w:spacing w:val="6"/>
          <w:szCs w:val="32"/>
          <w:shd w:val="clear" w:color="auto" w:fill="auto"/>
        </w:rPr>
        <w:t>列入目录的各重大行政决策事项必须严格落实公众参与、专家论证、风险评估、合法性审查、集体</w:t>
      </w:r>
      <w:r>
        <w:rPr>
          <w:rFonts w:hint="eastAsia" w:ascii="仿宋_GB2312" w:hAnsi="仿宋_GB2312" w:eastAsia="仿宋_GB2312" w:cs="仿宋_GB2312"/>
          <w:spacing w:val="6"/>
          <w:szCs w:val="32"/>
          <w:shd w:val="clear" w:color="auto" w:fill="auto"/>
          <w:lang w:val="en-US" w:eastAsia="zh-CN"/>
        </w:rPr>
        <w:t>决策</w:t>
      </w:r>
      <w:r>
        <w:rPr>
          <w:rFonts w:hint="eastAsia" w:ascii="仿宋_GB2312" w:hAnsi="仿宋_GB2312" w:eastAsia="仿宋_GB2312" w:cs="仿宋_GB2312"/>
          <w:spacing w:val="6"/>
          <w:szCs w:val="32"/>
          <w:shd w:val="clear" w:color="auto" w:fill="auto"/>
        </w:rPr>
        <w:t>等法定程序，确保程序正当、过程公开、责任明确。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spacing w:val="6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Cs w:val="32"/>
          <w:shd w:val="clear" w:color="auto" w:fill="FFFFFF"/>
        </w:rPr>
        <w:t>二、实行动态管理。</w:t>
      </w:r>
      <w:r>
        <w:rPr>
          <w:rFonts w:hint="eastAsia" w:ascii="仿宋_GB2312" w:hAnsi="仿宋_GB2312" w:eastAsia="仿宋_GB2312" w:cs="仿宋_GB2312"/>
          <w:spacing w:val="6"/>
          <w:szCs w:val="32"/>
          <w:shd w:val="clear" w:color="auto" w:fill="auto"/>
        </w:rPr>
        <w:t>重大行政决策事项需要做出增加、变更等调整时，由区政府按程序统一办理，决策目录实行动态管理</w:t>
      </w:r>
      <w:r>
        <w:rPr>
          <w:rFonts w:hint="eastAsia" w:ascii="仿宋_GB2312" w:hAnsi="仿宋_GB2312" w:eastAsia="仿宋_GB2312" w:cs="仿宋_GB2312"/>
          <w:spacing w:val="6"/>
          <w:szCs w:val="32"/>
        </w:rPr>
        <w:t>并及时公布。</w:t>
      </w: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618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>三、规范档案管理。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shd w:val="clear" w:color="auto" w:fill="auto"/>
        </w:rPr>
        <w:t>各承办部门要加强重大行政决策档案留存，对决策过程中形成的程序证明材料及时整理归档，实现重大行政决策全过程记录，确保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措施到位，责任到人。</w:t>
      </w:r>
    </w:p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济南市章丘区人民政府办公室</w:t>
      </w:r>
    </w:p>
    <w:p>
      <w:pPr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2025年6月</w:t>
      </w:r>
      <w:r>
        <w:rPr>
          <w:rFonts w:hint="eastAsia" w:ascii="仿宋_GB2312" w:hAnsi="仿宋_GB2312" w:cs="仿宋_GB231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日</w:t>
      </w:r>
    </w:p>
    <w:p>
      <w:pPr>
        <w:spacing w:line="560" w:lineRule="exact"/>
        <w:ind w:left="0" w:leftChars="0" w:firstLine="618" w:firstLineChars="200"/>
        <w:jc w:val="left"/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（联系电话：区司法局执法监督科，</w:t>
      </w:r>
      <w:r>
        <w:rPr>
          <w:rFonts w:hint="eastAsia" w:ascii="仿宋_GB2312" w:hAnsi="仿宋_GB2312" w:cs="仿宋_GB2312"/>
          <w:spacing w:val="6"/>
          <w:szCs w:val="32"/>
          <w:lang w:val="en-US" w:eastAsia="zh-CN"/>
        </w:rPr>
        <w:t>0531-</w:t>
      </w: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83213669）</w:t>
      </w:r>
    </w:p>
    <w:p>
      <w:pPr>
        <w:spacing w:line="560" w:lineRule="exact"/>
        <w:ind w:left="0" w:leftChars="0" w:firstLine="618" w:firstLineChars="200"/>
        <w:jc w:val="left"/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Cs w:val="32"/>
          <w:lang w:val="en-US" w:eastAsia="zh-CN"/>
        </w:rPr>
        <w:t>（此件公开发布）</w:t>
      </w:r>
    </w:p>
    <w:p>
      <w:pPr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ind w:left="1485" w:leftChars="200" w:hanging="891" w:hangingChars="300"/>
        <w:rPr>
          <w:rFonts w:hint="eastAsia" w:ascii="仿宋" w:hAnsi="仿宋" w:eastAsia="仿宋" w:cs="仿宋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064"/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" w:righ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济南市章丘区人民政府</w:t>
      </w:r>
    </w:p>
    <w:p>
      <w:pPr>
        <w:keepNext w:val="0"/>
        <w:keepLines w:val="0"/>
        <w:pageBreakBefore w:val="0"/>
        <w:widowControl w:val="0"/>
        <w:tabs>
          <w:tab w:val="center" w:pos="4064"/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" w:righ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2025年度重大行政决策事项目录</w:t>
      </w:r>
    </w:p>
    <w:p>
      <w:pPr>
        <w:keepNext w:val="0"/>
        <w:keepLines w:val="0"/>
        <w:pageBreakBefore w:val="0"/>
        <w:widowControl w:val="0"/>
        <w:tabs>
          <w:tab w:val="center" w:pos="4064"/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25"/>
        <w:tblOverlap w:val="never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96"/>
        <w:gridCol w:w="1780"/>
        <w:gridCol w:w="1760"/>
        <w:gridCol w:w="208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决策事项名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称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决策依据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决策程序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完成时限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楷体"/>
                <w:sz w:val="24"/>
                <w:szCs w:val="24"/>
              </w:rPr>
            </w:pPr>
            <w:r>
              <w:rPr>
                <w:rFonts w:hint="eastAsia" w:ascii="仿宋_GB2312" w:hAnsi="楷体"/>
                <w:sz w:val="24"/>
                <w:szCs w:val="24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楷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cs="Times New Roman"/>
                <w:kern w:val="2"/>
                <w:sz w:val="24"/>
                <w:szCs w:val="24"/>
                <w:lang w:val="en-US" w:eastAsia="zh-CN" w:bidi="ar-SA"/>
              </w:rPr>
              <w:t>关于公布第十一批区级非物质文化遗产代表性</w:t>
            </w:r>
            <w:r>
              <w:rPr>
                <w:rFonts w:hint="default" w:ascii="仿宋_GB2312" w:hAnsi="楷体" w:cs="Times New Roman"/>
                <w:kern w:val="2"/>
                <w:sz w:val="24"/>
                <w:szCs w:val="24"/>
                <w:lang w:val="en-US" w:eastAsia="zh-CN" w:bidi="ar-SA"/>
              </w:rPr>
              <w:t>项目名录</w:t>
            </w:r>
            <w:r>
              <w:rPr>
                <w:rFonts w:hint="eastAsia" w:ascii="仿宋_GB2312" w:hAnsi="楷体" w:cs="Times New Roman"/>
                <w:kern w:val="2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default" w:ascii="仿宋_GB2312" w:hAnsi="楷体" w:cs="Times New Roman"/>
                <w:kern w:val="2"/>
                <w:sz w:val="24"/>
                <w:szCs w:val="24"/>
                <w:lang w:val="en-US" w:eastAsia="zh-CN" w:bidi="ar-SA"/>
              </w:rPr>
              <w:t>通知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楷体" w:cs="Times New Roman"/>
                <w:kern w:val="2"/>
                <w:sz w:val="24"/>
                <w:szCs w:val="24"/>
                <w:lang w:val="en-US" w:eastAsia="zh-CN" w:bidi="ar-SA"/>
              </w:rPr>
              <w:t>《中华人民共和国非物质文化遗产法》《山东省非物质文化遗产条例》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/>
                <w:sz w:val="24"/>
                <w:szCs w:val="24"/>
              </w:rPr>
              <w:t>公众参与、专家论证、风险评估、合法性审查、集体决策和决策公布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楷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cs="Times New Roman"/>
                <w:kern w:val="2"/>
                <w:sz w:val="24"/>
                <w:szCs w:val="24"/>
                <w:lang w:val="en-US" w:eastAsia="zh-CN" w:bidi="ar-SA"/>
              </w:rPr>
              <w:t>2025年12月31日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/>
                <w:sz w:val="24"/>
                <w:szCs w:val="24"/>
                <w:lang w:val="en-US" w:eastAsia="zh-CN"/>
              </w:rPr>
              <w:t>区文化和旅游局</w:t>
            </w:r>
          </w:p>
        </w:tc>
      </w:tr>
    </w:tbl>
    <w:p>
      <w:pPr>
        <w:spacing w:line="240" w:lineRule="auto"/>
        <w:ind w:right="1280" w:firstLine="0" w:firstLineChars="0"/>
        <w:rPr>
          <w:rFonts w:hint="eastAsia" w:ascii="仿宋_GB2312" w:hAnsi="楷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3" w:firstLineChars="0"/>
        <w:textAlignment w:val="auto"/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594" w:firstLineChars="200"/>
        <w:textAlignment w:val="auto"/>
        <w:rPr>
          <w:rFonts w:hint="eastAsia"/>
          <w:i w:val="0"/>
          <w:i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（此页无正文）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i w:val="0"/>
          <w:iCs w:val="0"/>
          <w:lang w:eastAsia="zh-CN"/>
        </w:rPr>
      </w:pPr>
    </w:p>
    <w:p>
      <w:pPr>
        <w:jc w:val="center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99" w:leftChars="62" w:right="0" w:rightChars="0" w:hanging="915" w:hangingChars="328"/>
        <w:jc w:val="both"/>
        <w:textAlignment w:val="auto"/>
        <w:rPr>
          <w:rFonts w:ascii="仿宋_GB2312" w:eastAsia="仿宋_GB2312"/>
          <w:bCs/>
          <w:color w:val="000000"/>
          <w:spacing w:val="11"/>
          <w:sz w:val="28"/>
          <w:szCs w:val="28"/>
        </w:rPr>
      </w:pPr>
      <w:r>
        <w:rPr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8pt;height:0pt;width:439.35pt;z-index:251662336;mso-width-relative:page;mso-height-relative:page;" filled="f" stroked="t" coordsize="21600,21600" o:gfxdata="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uW0e&#10;rdQAAAAFAQAADwAAAAAAAAABACAAAAA4AAAAZHJzL2Rvd25yZXYueG1sUEsBAhQAFAAAAAgAh07i&#10;QFi2DIHXAQAAewMAAA4AAAAAAAAAAQAgAAAAOQ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pacing w:val="11"/>
          <w:sz w:val="28"/>
          <w:szCs w:val="28"/>
        </w:rPr>
        <w:t>抄送：区委办公室，区人大常委会办公室，区政协办公室，区法院，区检察院，区人武部。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9" w:firstLineChars="93"/>
        <w:textAlignment w:val="auto"/>
        <w:rPr>
          <w:rFonts w:hint="default"/>
          <w:spacing w:val="11"/>
          <w:lang w:val="en-US" w:eastAsia="zh-CN"/>
        </w:rPr>
      </w:pPr>
      <w:r>
        <w:rPr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8.5pt;height:0pt;width:439.35pt;z-index:251664384;mso-width-relative:page;mso-height-relative:page;" filled="f" stroked="t" coordsize="21600,21600" o:gfxdata="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g&#10;5zB21gAAAAcBAAAPAAAAAAAAAAEAIAAAADgAAABkcnMvZG93bnJldi54bWxQSwECFAAUAAAACACH&#10;TuJACnfKWtcBAAB7AwAADgAAAAAAAAABACAAAAA7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6pt;height:0pt;width:439.35pt;z-index:251663360;mso-width-relative:page;mso-height-relative:page;" filled="f" stroked="t" coordsize="21600,21600" o:gfxdata="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+oVqXS&#10;AAAABQEAAA8AAAAAAAAAAQAgAAAAOAAAAGRycy9kb3ducmV2LnhtbFBLAQIUABQAAAAIAIdO4kCd&#10;mSAJ1wEAAHoDAAAOAAAAAAAAAAEAIAAAAD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11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pacing w:val="11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/>
          <w:spacing w:val="11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pacing w:val="11"/>
          <w:sz w:val="28"/>
          <w:szCs w:val="28"/>
        </w:rPr>
        <w:t>202</w:t>
      </w:r>
      <w:r>
        <w:rPr>
          <w:rFonts w:hint="eastAsia" w:ascii="仿宋_GB2312"/>
          <w:spacing w:val="11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pacing w:val="11"/>
          <w:sz w:val="28"/>
          <w:szCs w:val="28"/>
        </w:rPr>
        <w:t>年</w:t>
      </w:r>
      <w:r>
        <w:rPr>
          <w:rFonts w:hint="eastAsia" w:ascii="仿宋_GB2312"/>
          <w:spacing w:val="11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pacing w:val="11"/>
          <w:sz w:val="28"/>
          <w:szCs w:val="28"/>
        </w:rPr>
        <w:t>月</w:t>
      </w:r>
      <w:r>
        <w:rPr>
          <w:rFonts w:hint="eastAsia" w:ascii="仿宋_GB2312"/>
          <w:spacing w:val="11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pacing w:val="11"/>
          <w:sz w:val="28"/>
          <w:szCs w:val="28"/>
        </w:rPr>
        <w:t>日印发</w:t>
      </w:r>
      <w:r>
        <w:rPr>
          <w:color w:val="FFFFFF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7985760</wp:posOffset>
                </wp:positionV>
                <wp:extent cx="962025" cy="52387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628.8pt;height:41.25pt;width:75.75pt;z-index:251661312;mso-width-relative:page;mso-height-relative:page;" fillcolor="#FFFFFF" filled="t" stroked="t" coordsize="21600,21600" o:gfxdata="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B9YkTHaAAAADQEAAA8AAAAAAAAAAQAgAAAA&#10;OAAAAGRycy9kb3ducmV2LnhtbFBLAQIUABQAAAAIAIdO4kBsKG+D8wEAAP0DAAAOAAAAAAAAAAEA&#10;IAAAAD8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5" w:type="default"/>
      <w:pgSz w:w="11906" w:h="16838"/>
      <w:pgMar w:top="2041" w:right="1531" w:bottom="2041" w:left="1531" w:header="851" w:footer="1417" w:gutter="0"/>
      <w:pgNumType w:fmt="numberInDash"/>
      <w:cols w:space="720" w:num="1"/>
      <w:rtlGutter w:val="0"/>
      <w:docGrid w:type="linesAndChars" w:linePitch="634" w:charSpace="-4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94"/>
      </w:pPr>
      <w:r>
        <w:separator/>
      </w:r>
    </w:p>
  </w:endnote>
  <w:endnote w:type="continuationSeparator" w:id="1">
    <w:p>
      <w:pPr>
        <w:spacing w:line="240" w:lineRule="auto"/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标宋">
    <w:altName w:val="方正书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UQU0CMMBAABp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94"/>
      </w:pPr>
      <w:r>
        <w:separator/>
      </w:r>
    </w:p>
  </w:footnote>
  <w:footnote w:type="continuationSeparator" w:id="1">
    <w:p>
      <w:pPr>
        <w:spacing w:line="240" w:lineRule="auto"/>
        <w:ind w:firstLine="59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ODVkYzBjZTlkMjI5Y2FjMTliZWUxMDUzNjQwNjYifQ=="/>
  </w:docVars>
  <w:rsids>
    <w:rsidRoot w:val="00000000"/>
    <w:rsid w:val="0A37183D"/>
    <w:rsid w:val="0B092C6F"/>
    <w:rsid w:val="0BAF67CA"/>
    <w:rsid w:val="10CE27F7"/>
    <w:rsid w:val="20624E1C"/>
    <w:rsid w:val="284F66C5"/>
    <w:rsid w:val="329804BA"/>
    <w:rsid w:val="37BD2700"/>
    <w:rsid w:val="395F5662"/>
    <w:rsid w:val="3EB15A55"/>
    <w:rsid w:val="3FED3266"/>
    <w:rsid w:val="43547DFD"/>
    <w:rsid w:val="47126FF2"/>
    <w:rsid w:val="4B7A6731"/>
    <w:rsid w:val="4DDC476A"/>
    <w:rsid w:val="4F12251D"/>
    <w:rsid w:val="4F8B1C56"/>
    <w:rsid w:val="533E38B2"/>
    <w:rsid w:val="55B57B00"/>
    <w:rsid w:val="57763D43"/>
    <w:rsid w:val="5C9368CD"/>
    <w:rsid w:val="5DDE57EE"/>
    <w:rsid w:val="5E0F3B97"/>
    <w:rsid w:val="61E57F97"/>
    <w:rsid w:val="635F3637"/>
    <w:rsid w:val="63BE04F4"/>
    <w:rsid w:val="6A657A5E"/>
    <w:rsid w:val="6CDC10ED"/>
    <w:rsid w:val="72C627EA"/>
    <w:rsid w:val="74F019F8"/>
    <w:rsid w:val="75857476"/>
    <w:rsid w:val="777178D6"/>
    <w:rsid w:val="B1778513"/>
    <w:rsid w:val="DBFC8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page number"/>
    <w:qFormat/>
    <w:uiPriority w:val="0"/>
  </w:style>
  <w:style w:type="character" w:customStyle="1" w:styleId="11">
    <w:name w:val="标题 1 Char"/>
    <w:basedOn w:val="9"/>
    <w:link w:val="2"/>
    <w:qFormat/>
    <w:uiPriority w:val="9"/>
    <w:rPr>
      <w:rFonts w:eastAsia="方正小标宋简体"/>
      <w:bCs/>
      <w:kern w:val="44"/>
      <w:sz w:val="44"/>
      <w:szCs w:val="44"/>
    </w:rPr>
  </w:style>
  <w:style w:type="paragraph" w:customStyle="1" w:styleId="12">
    <w:name w:val="评价报告正文"/>
    <w:basedOn w:val="1"/>
    <w:qFormat/>
    <w:uiPriority w:val="0"/>
    <w:pPr>
      <w:spacing w:line="360" w:lineRule="auto"/>
      <w:ind w:firstLine="560"/>
    </w:pPr>
    <w:rPr>
      <w:rFonts w:ascii="Times New Roman" w:hAnsi="Times New Roman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451</Words>
  <Characters>461</Characters>
  <Lines>0</Lines>
  <Paragraphs>0</Paragraphs>
  <TotalTime>5</TotalTime>
  <ScaleCrop>false</ScaleCrop>
  <LinksUpToDate>false</LinksUpToDate>
  <CharactersWithSpaces>463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2023-06-29T09:10:00Z</dcterms:created>
  <dc:creator>Administrator</dc:creator>
  <cp:lastModifiedBy>jnak</cp:lastModifiedBy>
  <cp:lastPrinted>2025-05-29T06:21:00Z</cp:lastPrinted>
  <dcterms:modified xsi:type="dcterms:W3CDTF">2025-06-11T14:47:16Z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2B651AAAEC134E6D8320EEDCFE777DFE_13</vt:lpwstr>
  </property>
  <property fmtid="{D5CDD505-2E9C-101B-9397-08002B2CF9AE}" pid="4" name="KSOTemplateDocerSaveRecord">
    <vt:lpwstr>eyJoZGlkIjoiY2Y4YzgzNjgyODIzNjkzZmNjNGI2MGFiODhkZjBlYjYifQ==</vt:lpwstr>
  </property>
</Properties>
</file>