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楷体_GB2312" w:hAnsi="宋体" w:eastAsia="楷体_GB2312" w:cs="楷体_GB2312"/>
          <w:sz w:val="32"/>
          <w:szCs w:val="32"/>
        </w:rPr>
      </w:pPr>
      <w:r>
        <w:rPr>
          <w:rStyle w:val="8"/>
          <w:rFonts w:hint="eastAsia" w:ascii="文星标宋" w:hAnsi="文星标宋" w:eastAsia="文星标宋" w:cs="文星标宋"/>
          <w:b w:val="0"/>
          <w:sz w:val="48"/>
          <w:szCs w:val="48"/>
          <w:shd w:val="clear" w:color="auto" w:fill="FFFFFF"/>
        </w:rPr>
        <w:t>政 府 工 作 报 告</w:t>
      </w:r>
    </w:p>
    <w:p>
      <w:pPr>
        <w:spacing w:line="600" w:lineRule="exact"/>
        <w:jc w:val="center"/>
        <w:rPr>
          <w:rFonts w:hint="eastAsia" w:ascii="楷体_GB2312" w:hAnsi="宋体" w:eastAsia="楷体_GB2312"/>
          <w:sz w:val="32"/>
          <w:szCs w:val="32"/>
        </w:rPr>
      </w:pPr>
      <w:r>
        <w:rPr>
          <w:rFonts w:hint="eastAsia" w:ascii="楷体_GB2312" w:hAnsi="宋体" w:eastAsia="楷体_GB2312" w:cs="楷体_GB2312"/>
          <w:sz w:val="32"/>
          <w:szCs w:val="32"/>
        </w:rPr>
        <w:t>——</w:t>
      </w:r>
      <w:r>
        <w:rPr>
          <w:rFonts w:ascii="楷体_GB2312" w:hAnsi="宋体" w:eastAsia="楷体_GB2312" w:cs="楷体_GB2312"/>
          <w:sz w:val="32"/>
          <w:szCs w:val="32"/>
        </w:rPr>
        <w:t>202</w:t>
      </w:r>
      <w:r>
        <w:rPr>
          <w:rFonts w:hint="eastAsia" w:ascii="楷体_GB2312" w:hAnsi="宋体" w:eastAsia="楷体_GB2312" w:cs="楷体_GB2312"/>
          <w:sz w:val="32"/>
          <w:szCs w:val="32"/>
        </w:rPr>
        <w:t>5年1月8日在济南市章丘区第十八届</w:t>
      </w:r>
    </w:p>
    <w:p>
      <w:pPr>
        <w:tabs>
          <w:tab w:val="left" w:pos="1418"/>
        </w:tabs>
        <w:spacing w:line="600" w:lineRule="exact"/>
        <w:jc w:val="center"/>
        <w:rPr>
          <w:rFonts w:hint="eastAsia" w:ascii="楷体_GB2312" w:hAnsi="宋体" w:eastAsia="楷体_GB2312"/>
          <w:sz w:val="32"/>
          <w:szCs w:val="32"/>
        </w:rPr>
      </w:pPr>
      <w:r>
        <w:rPr>
          <w:rFonts w:hint="eastAsia" w:ascii="楷体_GB2312" w:hAnsi="宋体" w:eastAsia="楷体_GB2312" w:cs="楷体_GB2312"/>
          <w:sz w:val="32"/>
          <w:szCs w:val="32"/>
        </w:rPr>
        <w:t>人民代表大会第四次会议上</w:t>
      </w:r>
    </w:p>
    <w:p>
      <w:pPr>
        <w:autoSpaceDE w:val="0"/>
        <w:autoSpaceDN w:val="0"/>
        <w:spacing w:line="600" w:lineRule="exact"/>
        <w:jc w:val="center"/>
        <w:rPr>
          <w:rFonts w:hint="eastAsia" w:ascii="黑体" w:hAnsi="文星标宋" w:eastAsia="黑体" w:cs="黑体"/>
          <w:sz w:val="32"/>
          <w:szCs w:val="32"/>
        </w:rPr>
      </w:pPr>
      <w:r>
        <w:rPr>
          <w:rFonts w:hint="eastAsia" w:ascii="楷体_GB2312" w:hAnsi="文星标宋" w:eastAsia="楷体_GB2312" w:cs="楷体_GB2312"/>
          <w:sz w:val="32"/>
          <w:szCs w:val="32"/>
        </w:rPr>
        <w:t>济南市章丘区</w:t>
      </w:r>
      <w:bookmarkStart w:id="0" w:name="_GoBack"/>
      <w:bookmarkEnd w:id="0"/>
      <w:r>
        <w:rPr>
          <w:rFonts w:hint="eastAsia" w:ascii="楷体_GB2312" w:hAnsi="文星标宋" w:eastAsia="楷体_GB2312" w:cs="楷体_GB2312"/>
          <w:sz w:val="32"/>
          <w:szCs w:val="32"/>
        </w:rPr>
        <w:t xml:space="preserve">区长  </w:t>
      </w:r>
      <w:r>
        <w:rPr>
          <w:rFonts w:hint="eastAsia" w:ascii="黑体" w:hAnsi="文星标宋" w:eastAsia="黑体" w:cs="黑体"/>
          <w:sz w:val="32"/>
          <w:szCs w:val="32"/>
        </w:rPr>
        <w:t>边祥为</w:t>
      </w:r>
    </w:p>
    <w:p>
      <w:pPr>
        <w:spacing w:line="600" w:lineRule="exact"/>
        <w:rPr>
          <w:rFonts w:hint="eastAsia" w:ascii="仿宋_GB2312" w:hAnsi="仿宋_GB2312" w:eastAsia="仿宋_GB2312" w:cs="仿宋_GB2312"/>
          <w:kern w:val="0"/>
          <w:sz w:val="32"/>
          <w:szCs w:val="32"/>
        </w:rPr>
      </w:pPr>
    </w:p>
    <w:p>
      <w:pPr>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各位代表：</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现在，我代表区人民政府，向大会报告工作，请予审议，并请各位政协委员和其他列席人员提出意见。</w:t>
      </w:r>
    </w:p>
    <w:p>
      <w:pPr>
        <w:spacing w:line="600"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一、2024年工作回顾</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刚刚过去的2024年，是</w:t>
      </w:r>
      <w:r>
        <w:rPr>
          <w:rFonts w:hint="eastAsia" w:ascii="仿宋_GB2312" w:hAnsi="宋体" w:eastAsia="仿宋_GB2312" w:cs="仿宋_GB2312"/>
          <w:kern w:val="0"/>
          <w:sz w:val="32"/>
          <w:szCs w:val="31"/>
        </w:rPr>
        <w:t>全面</w:t>
      </w:r>
      <w:r>
        <w:rPr>
          <w:rFonts w:ascii="仿宋_GB2312" w:hAnsi="宋体" w:eastAsia="仿宋_GB2312" w:cs="仿宋_GB2312"/>
          <w:kern w:val="0"/>
          <w:sz w:val="32"/>
          <w:szCs w:val="31"/>
        </w:rPr>
        <w:t>贯彻落实党的二十大精神的</w:t>
      </w:r>
      <w:r>
        <w:rPr>
          <w:rFonts w:hint="eastAsia" w:ascii="仿宋_GB2312" w:hAnsi="宋体" w:eastAsia="仿宋_GB2312" w:cs="仿宋_GB2312"/>
          <w:kern w:val="0"/>
          <w:sz w:val="32"/>
          <w:szCs w:val="31"/>
        </w:rPr>
        <w:t>关键</w:t>
      </w:r>
      <w:r>
        <w:rPr>
          <w:rFonts w:ascii="仿宋_GB2312" w:hAnsi="宋体" w:eastAsia="仿宋_GB2312" w:cs="仿宋_GB2312"/>
          <w:kern w:val="0"/>
          <w:sz w:val="32"/>
          <w:szCs w:val="31"/>
        </w:rPr>
        <w:t>之年，也是</w:t>
      </w:r>
      <w:r>
        <w:rPr>
          <w:rFonts w:hint="eastAsia" w:ascii="仿宋_GB2312" w:hAnsi="宋体" w:eastAsia="仿宋_GB2312" w:cs="仿宋_GB2312"/>
          <w:kern w:val="0"/>
          <w:sz w:val="32"/>
          <w:szCs w:val="31"/>
        </w:rPr>
        <w:t>加快建设现代化强区进程中极不平凡的一年。一年来，</w:t>
      </w:r>
      <w:r>
        <w:rPr>
          <w:rFonts w:hint="eastAsia" w:ascii="仿宋_GB2312" w:hAnsi="仿宋_GB2312" w:eastAsia="仿宋_GB2312" w:cs="仿宋_GB2312"/>
          <w:kern w:val="0"/>
          <w:sz w:val="32"/>
          <w:szCs w:val="32"/>
        </w:rPr>
        <w:t>我们</w:t>
      </w:r>
      <w:r>
        <w:rPr>
          <w:rFonts w:ascii="仿宋_GB2312" w:hAnsi="宋体" w:eastAsia="仿宋_GB2312" w:cs="仿宋_GB2312"/>
          <w:kern w:val="0"/>
          <w:sz w:val="32"/>
          <w:szCs w:val="31"/>
        </w:rPr>
        <w:t>坚持以习近平新时代中国特色社会主义思想为指导，</w:t>
      </w:r>
      <w:r>
        <w:rPr>
          <w:rFonts w:hint="eastAsia" w:ascii="仿宋_GB2312" w:hAnsi="宋体" w:eastAsia="仿宋_GB2312" w:cs="仿宋_GB2312"/>
          <w:kern w:val="0"/>
          <w:sz w:val="32"/>
          <w:szCs w:val="31"/>
        </w:rPr>
        <w:t>全面</w:t>
      </w:r>
      <w:r>
        <w:rPr>
          <w:rFonts w:ascii="仿宋_GB2312" w:hAnsi="宋体" w:eastAsia="仿宋_GB2312" w:cs="仿宋_GB2312"/>
          <w:kern w:val="0"/>
          <w:sz w:val="32"/>
          <w:szCs w:val="31"/>
        </w:rPr>
        <w:t>贯</w:t>
      </w:r>
      <w:r>
        <w:rPr>
          <w:rFonts w:hint="eastAsia" w:ascii="仿宋_GB2312" w:hAnsi="宋体" w:eastAsia="仿宋_GB2312" w:cs="仿宋_GB2312"/>
          <w:kern w:val="0"/>
          <w:sz w:val="32"/>
          <w:szCs w:val="31"/>
        </w:rPr>
        <w:t>彻落实党的二十大和二十届二中、三中全会精神，</w:t>
      </w:r>
      <w:r>
        <w:rPr>
          <w:rFonts w:hint="eastAsia" w:ascii="仿宋_GB2312" w:hAnsi="仿宋_GB2312" w:eastAsia="仿宋_GB2312" w:cs="仿宋_GB2312"/>
          <w:kern w:val="0"/>
          <w:sz w:val="32"/>
          <w:szCs w:val="32"/>
        </w:rPr>
        <w:t>按照市委、市政府工作部署，在区委的坚强领导下，在区人大、区政协的监督支持下，扎实开展党纪学习教育，以“项目深化年”为总牵引，以“六大行动”为总抓手，攻坚克难，奋勇争先，经济社会各项工作取得新成效。全年</w:t>
      </w:r>
      <w:r>
        <w:rPr>
          <w:rFonts w:hint="eastAsia" w:ascii="仿宋_GB2312" w:hAnsi="仿宋_GB2312" w:eastAsia="仿宋_GB2312" w:cs="仿宋_GB2312"/>
          <w:kern w:val="0"/>
          <w:sz w:val="32"/>
          <w:szCs w:val="32"/>
          <w:lang w:val="en-US" w:eastAsia="zh-CN"/>
        </w:rPr>
        <w:t>实现</w:t>
      </w:r>
      <w:r>
        <w:rPr>
          <w:rFonts w:hint="eastAsia" w:ascii="仿宋_GB2312" w:hAnsi="仿宋_GB2312" w:eastAsia="仿宋_GB2312" w:cs="仿宋_GB2312"/>
          <w:kern w:val="0"/>
          <w:sz w:val="32"/>
          <w:szCs w:val="32"/>
        </w:rPr>
        <w:t>地区生产总值</w:t>
      </w:r>
      <w:r>
        <w:rPr>
          <w:rFonts w:hint="eastAsia" w:ascii="仿宋_GB2312" w:hAnsi="仿宋_GB2312" w:eastAsia="仿宋_GB2312" w:cs="仿宋_GB2312"/>
          <w:kern w:val="0"/>
          <w:sz w:val="32"/>
          <w:szCs w:val="32"/>
          <w:lang w:val="en-US" w:eastAsia="zh-CN"/>
        </w:rPr>
        <w:t>1301.3亿元、</w:t>
      </w:r>
      <w:r>
        <w:rPr>
          <w:rFonts w:hint="eastAsia" w:ascii="仿宋_GB2312" w:hAnsi="仿宋_GB2312" w:eastAsia="仿宋_GB2312" w:cs="仿宋_GB2312"/>
          <w:kern w:val="0"/>
          <w:sz w:val="32"/>
          <w:szCs w:val="32"/>
        </w:rPr>
        <w:t>增长6%，完成一般公共预算收入61.3亿元、增长1.3%，城乡居民人均可支配收入分别增长</w:t>
      </w:r>
      <w:r>
        <w:rPr>
          <w:rFonts w:hint="eastAsia" w:ascii="仿宋_GB2312" w:hAnsi="仿宋_GB2312" w:eastAsia="仿宋_GB2312" w:cs="仿宋_GB2312"/>
          <w:kern w:val="0"/>
          <w:sz w:val="32"/>
          <w:szCs w:val="32"/>
          <w:lang w:val="en-US" w:eastAsia="zh-CN"/>
        </w:rPr>
        <w:t>4.8</w:t>
      </w:r>
      <w:r>
        <w:rPr>
          <w:rFonts w:hint="eastAsia" w:ascii="仿宋_GB2312" w:hAnsi="仿宋_GB2312" w:eastAsia="仿宋_GB2312" w:cs="仿宋_GB2312"/>
          <w:kern w:val="0"/>
          <w:sz w:val="32"/>
          <w:szCs w:val="32"/>
        </w:rPr>
        <w:t>%和6.5%，较好完成了区十八届人大三次会议确定的目标任务。</w:t>
      </w:r>
      <w:r>
        <w:rPr>
          <w:rFonts w:hint="eastAsia" w:ascii="仿宋_GB2312" w:hAnsi="仿宋_GB2312" w:eastAsia="仿宋_GB2312" w:cs="仿宋_GB2312"/>
          <w:sz w:val="32"/>
          <w:szCs w:val="32"/>
        </w:rPr>
        <w:t>荣获全国综合实力百强区、全国投资潜力百强区、中国市辖区旅游综合竞争力百强区。</w:t>
      </w:r>
    </w:p>
    <w:p>
      <w:pPr>
        <w:spacing w:line="600" w:lineRule="exact"/>
        <w:ind w:firstLine="640" w:firstLineChars="200"/>
        <w:rPr>
          <w:rFonts w:hint="eastAsia"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（一）工业强区迈上新台阶。</w:t>
      </w:r>
      <w:r>
        <w:rPr>
          <w:rFonts w:hint="eastAsia" w:ascii="仿宋_GB2312" w:hAnsi="仿宋_GB2312" w:eastAsia="仿宋_GB2312" w:cs="仿宋_GB2312"/>
          <w:kern w:val="0"/>
          <w:sz w:val="32"/>
          <w:szCs w:val="32"/>
        </w:rPr>
        <w:t>完善“2+2+3”产业体系，大力发展新型工业化，全年实现规上工业总产值1251</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亿元、增长3.</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w:t>
      </w:r>
      <w:r>
        <w:rPr>
          <w:rFonts w:hint="eastAsia" w:ascii="仿宋_GB2312" w:hAnsi="仿宋_GB2312" w:eastAsia="仿宋_GB2312" w:cs="仿宋_GB2312"/>
          <w:b/>
          <w:bCs/>
          <w:kern w:val="0"/>
          <w:sz w:val="32"/>
          <w:szCs w:val="32"/>
        </w:rPr>
        <w:t>转型升级步伐加快。</w:t>
      </w:r>
      <w:r>
        <w:rPr>
          <w:rFonts w:hint="eastAsia" w:ascii="仿宋_GB2312" w:eastAsia="仿宋_GB2312" w:cs="仿宋_GB2312"/>
          <w:kern w:val="0"/>
          <w:sz w:val="32"/>
          <w:szCs w:val="32"/>
        </w:rPr>
        <w:t>实施华润双鹤利民制药固体制剂车间等400余个工业项目，完成工业投资</w:t>
      </w:r>
      <w:r>
        <w:rPr>
          <w:rFonts w:hint="eastAsia" w:ascii="仿宋_GB2312" w:eastAsia="仿宋_GB2312" w:cs="仿宋_GB2312"/>
          <w:kern w:val="0"/>
          <w:sz w:val="32"/>
          <w:szCs w:val="32"/>
          <w:lang w:val="en-US" w:eastAsia="zh-CN"/>
        </w:rPr>
        <w:t>110</w:t>
      </w:r>
      <w:r>
        <w:rPr>
          <w:rFonts w:hint="eastAsia" w:ascii="仿宋_GB2312" w:eastAsia="仿宋_GB2312" w:cs="仿宋_GB2312"/>
          <w:kern w:val="0"/>
          <w:sz w:val="32"/>
          <w:szCs w:val="32"/>
        </w:rPr>
        <w:t>亿元、增长</w:t>
      </w:r>
      <w:r>
        <w:rPr>
          <w:rFonts w:ascii="仿宋_GB2312" w:eastAsia="仿宋_GB2312" w:cs="仿宋_GB2312"/>
          <w:kern w:val="0"/>
          <w:sz w:val="32"/>
          <w:szCs w:val="32"/>
        </w:rPr>
        <w:t>2.</w:t>
      </w:r>
      <w:r>
        <w:rPr>
          <w:rFonts w:hint="eastAsia" w:ascii="仿宋_GB2312" w:eastAsia="仿宋_GB2312" w:cs="仿宋_GB2312"/>
          <w:kern w:val="0"/>
          <w:sz w:val="32"/>
          <w:szCs w:val="32"/>
          <w:lang w:val="en-US" w:eastAsia="zh-CN"/>
        </w:rPr>
        <w:t>7</w:t>
      </w:r>
      <w:r>
        <w:rPr>
          <w:rFonts w:hint="eastAsia" w:ascii="仿宋_GB2312" w:eastAsia="仿宋_GB2312" w:cs="仿宋_GB2312"/>
          <w:kern w:val="0"/>
          <w:sz w:val="32"/>
          <w:szCs w:val="32"/>
        </w:rPr>
        <w:t>%，其中技改投资完成</w:t>
      </w:r>
      <w:r>
        <w:rPr>
          <w:rFonts w:hint="eastAsia" w:ascii="仿宋_GB2312" w:eastAsia="仿宋_GB2312" w:cs="仿宋_GB2312"/>
          <w:kern w:val="0"/>
          <w:sz w:val="32"/>
          <w:szCs w:val="32"/>
          <w:lang w:val="en-US" w:eastAsia="zh-CN"/>
        </w:rPr>
        <w:t>71.1</w:t>
      </w:r>
      <w:r>
        <w:rPr>
          <w:rFonts w:hint="eastAsia" w:ascii="仿宋_GB2312" w:eastAsia="仿宋_GB2312" w:cs="仿宋_GB2312"/>
          <w:kern w:val="0"/>
          <w:sz w:val="32"/>
          <w:szCs w:val="32"/>
        </w:rPr>
        <w:t>亿元、增长</w:t>
      </w:r>
      <w:r>
        <w:rPr>
          <w:rFonts w:hint="eastAsia" w:ascii="仿宋_GB2312" w:eastAsia="仿宋_GB2312" w:cs="仿宋_GB2312"/>
          <w:kern w:val="0"/>
          <w:sz w:val="32"/>
          <w:szCs w:val="32"/>
          <w:lang w:val="en-US" w:eastAsia="zh-CN"/>
        </w:rPr>
        <w:t>11.5</w:t>
      </w:r>
      <w:r>
        <w:rPr>
          <w:rFonts w:hint="eastAsia" w:ascii="仿宋_GB2312" w:eastAsia="仿宋_GB2312" w:cs="仿宋_GB2312"/>
          <w:kern w:val="0"/>
          <w:sz w:val="32"/>
          <w:szCs w:val="32"/>
        </w:rPr>
        <w:t>%</w:t>
      </w:r>
      <w:r>
        <w:rPr>
          <w:rFonts w:hint="eastAsia" w:ascii="仿宋_GB2312" w:hAnsi="仿宋_GB2312" w:eastAsia="仿宋_GB2312" w:cs="仿宋_GB2312"/>
          <w:kern w:val="0"/>
          <w:sz w:val="32"/>
          <w:szCs w:val="32"/>
        </w:rPr>
        <w:t>。</w:t>
      </w:r>
      <w:r>
        <w:rPr>
          <w:rFonts w:hint="eastAsia" w:ascii="仿宋_GB2312" w:eastAsia="仿宋_GB2312"/>
          <w:sz w:val="32"/>
          <w:szCs w:val="32"/>
        </w:rPr>
        <w:t>华凌电缆被认定为国家级制造业单项冠军、重型锻造等4家企业被认定为省级制造业单项冠军，</w:t>
      </w:r>
      <w:r>
        <w:rPr>
          <w:rFonts w:hint="eastAsia" w:ascii="仿宋_GB2312" w:eastAsia="仿宋_GB2312" w:cs="仿宋_GB2312"/>
          <w:kern w:val="0"/>
          <w:sz w:val="32"/>
          <w:szCs w:val="32"/>
        </w:rPr>
        <w:t>新认定永信非织造等国家级专精特新“小巨人”企业4家</w:t>
      </w:r>
      <w:r>
        <w:rPr>
          <w:rFonts w:hint="eastAsia" w:ascii="仿宋_GB2312" w:eastAsia="仿宋_GB2312"/>
          <w:sz w:val="32"/>
          <w:szCs w:val="32"/>
        </w:rPr>
        <w:t>、</w:t>
      </w:r>
      <w:r>
        <w:rPr>
          <w:rFonts w:hint="eastAsia" w:ascii="仿宋_GB2312" w:eastAsia="仿宋_GB2312" w:cs="仿宋_GB2312"/>
          <w:kern w:val="0"/>
          <w:sz w:val="32"/>
          <w:szCs w:val="32"/>
        </w:rPr>
        <w:t>省级专精特新企业46家、省市级瞪羚企业73家、市级专家工作站4家。</w:t>
      </w:r>
      <w:r>
        <w:rPr>
          <w:rFonts w:hint="eastAsia" w:ascii="仿宋_GB2312" w:hAnsi="仿宋_GB2312" w:eastAsia="仿宋_GB2312" w:cs="仿宋_GB2312"/>
          <w:kern w:val="0"/>
          <w:sz w:val="32"/>
          <w:szCs w:val="32"/>
        </w:rPr>
        <w:t>精密铸锻产业集群被认定为省级中小企业特色产业集群。</w:t>
      </w:r>
      <w:r>
        <w:rPr>
          <w:rFonts w:hint="eastAsia" w:ascii="仿宋_GB2312" w:hAnsi="仿宋_GB2312" w:eastAsia="仿宋_GB2312" w:cs="仿宋_GB2312"/>
          <w:b/>
          <w:bCs/>
          <w:kern w:val="0"/>
          <w:sz w:val="32"/>
          <w:szCs w:val="32"/>
        </w:rPr>
        <w:t>实数融合深度推进</w:t>
      </w:r>
      <w:r>
        <w:rPr>
          <w:rFonts w:hint="eastAsia" w:ascii="仿宋_GB2312" w:hAnsi="仿宋_GB2312" w:eastAsia="仿宋_GB2312" w:cs="仿宋_GB2312"/>
          <w:kern w:val="0"/>
          <w:sz w:val="32"/>
          <w:szCs w:val="32"/>
        </w:rPr>
        <w:t>。</w:t>
      </w:r>
      <w:r>
        <w:rPr>
          <w:rFonts w:hint="eastAsia" w:ascii="仿宋_GB2312" w:eastAsia="仿宋_GB2312" w:cs="仿宋_GB2312"/>
          <w:kern w:val="0"/>
          <w:sz w:val="32"/>
          <w:szCs w:val="32"/>
        </w:rPr>
        <w:t>完成155家企业数字化评估，山东章鼓等40家企业获评山东省“晨星工厂”，神舟制冷等10家企业获评全省DCMM贯标试点企业</w:t>
      </w:r>
      <w:r>
        <w:rPr>
          <w:rFonts w:hint="eastAsia" w:ascii="仿宋_GB2312" w:eastAsia="仿宋_GB2312"/>
          <w:sz w:val="32"/>
          <w:szCs w:val="32"/>
        </w:rPr>
        <w:t>。</w:t>
      </w:r>
      <w:r>
        <w:rPr>
          <w:rFonts w:hint="eastAsia" w:ascii="仿宋_GB2312" w:eastAsia="仿宋_GB2312" w:cs="仿宋_GB2312"/>
          <w:kern w:val="0"/>
          <w:sz w:val="32"/>
          <w:szCs w:val="32"/>
        </w:rPr>
        <w:t>蓝海领航获评省级数字经济园区，聚鑫钢结构被认定为省级数字化车间。我区</w:t>
      </w:r>
      <w:r>
        <w:rPr>
          <w:rFonts w:hint="eastAsia" w:ascii="仿宋_GB2312" w:eastAsia="仿宋_GB2312"/>
          <w:sz w:val="32"/>
          <w:szCs w:val="32"/>
        </w:rPr>
        <w:t>被评为山东省建设信息基础设施和推进产业数字化、数字产业化成效明显县（市、区），DCMM贯标先进区。</w:t>
      </w:r>
      <w:r>
        <w:rPr>
          <w:rFonts w:hint="eastAsia" w:ascii="仿宋_GB2312" w:eastAsia="仿宋_GB2312" w:cs="仿宋_GB2312"/>
          <w:b/>
          <w:bCs/>
          <w:kern w:val="0"/>
          <w:sz w:val="32"/>
          <w:szCs w:val="32"/>
        </w:rPr>
        <w:t>绿色动能集聚成势</w:t>
      </w:r>
      <w:r>
        <w:rPr>
          <w:rFonts w:hint="eastAsia" w:ascii="仿宋_GB2312" w:eastAsia="仿宋_GB2312"/>
          <w:sz w:val="32"/>
          <w:szCs w:val="32"/>
        </w:rPr>
        <w:t>。</w:t>
      </w:r>
      <w:r>
        <w:rPr>
          <w:rFonts w:ascii="仿宋_GB2312" w:hAnsi="宋体" w:eastAsia="仿宋_GB2312" w:cs="仿宋_GB2312"/>
          <w:kern w:val="0"/>
          <w:sz w:val="32"/>
          <w:szCs w:val="31"/>
        </w:rPr>
        <w:t>全面落实能源“双控”，</w:t>
      </w:r>
      <w:r>
        <w:rPr>
          <w:rFonts w:hint="eastAsia" w:ascii="仿宋_GB2312" w:eastAsia="仿宋_GB2312"/>
          <w:sz w:val="32"/>
          <w:szCs w:val="32"/>
        </w:rPr>
        <w:t>能耗强度和煤炭压减较“十四五”初期分别下降39%和6.4%，超额完成任务目标。率先在全市开展区级绿色制造体系认定，新培育华润双鹤利民成为国家级绿色工厂，科兴生物、汇丰铸造等18家企业成为省市级绿色工厂，安莉芳、一然环保等7家企业成为省市级绿色供应链管理</w:t>
      </w:r>
      <w:r>
        <w:rPr>
          <w:rFonts w:hint="eastAsia" w:ascii="仿宋_GB2312" w:eastAsia="仿宋_GB2312"/>
          <w:sz w:val="32"/>
          <w:szCs w:val="32"/>
          <w:lang w:val="en-US" w:eastAsia="zh-CN"/>
        </w:rPr>
        <w:t>企业</w:t>
      </w:r>
      <w:r>
        <w:rPr>
          <w:rFonts w:hint="eastAsia" w:ascii="仿宋_GB2312" w:eastAsia="仿宋_GB2312"/>
          <w:sz w:val="32"/>
          <w:szCs w:val="32"/>
        </w:rPr>
        <w:t>。</w:t>
      </w:r>
      <w:r>
        <w:rPr>
          <w:rFonts w:hint="eastAsia" w:ascii="仿宋_GB2312" w:eastAsia="仿宋_GB2312" w:cs="仿宋_GB2312"/>
          <w:b/>
          <w:bCs/>
          <w:kern w:val="0"/>
          <w:sz w:val="32"/>
          <w:szCs w:val="32"/>
        </w:rPr>
        <w:t>产业载体功能跃升</w:t>
      </w:r>
      <w:r>
        <w:rPr>
          <w:rFonts w:hint="eastAsia" w:ascii="仿宋_GB2312" w:eastAsia="仿宋_GB2312" w:cs="仿宋_GB2312"/>
          <w:kern w:val="0"/>
          <w:sz w:val="32"/>
          <w:szCs w:val="32"/>
        </w:rPr>
        <w:t>。</w:t>
      </w:r>
      <w:r>
        <w:rPr>
          <w:rFonts w:hint="eastAsia" w:ascii="仿宋_GB2312" w:hAnsi="仿宋_GB2312" w:eastAsia="仿宋_GB2312" w:cs="仿宋_GB2312"/>
          <w:sz w:val="32"/>
          <w:szCs w:val="32"/>
        </w:rPr>
        <w:t>明水经济技术开发区获评2024中国十大最具投资价值产业园区。刁镇化工产业园通过安全风险D级（低风险）达标评价，被评为全省化工产业智能化改造标杆园区。</w:t>
      </w:r>
    </w:p>
    <w:p>
      <w:pPr>
        <w:widowControl/>
        <w:spacing w:line="600" w:lineRule="exact"/>
        <w:ind w:firstLine="640" w:firstLineChars="200"/>
        <w:rPr>
          <w:rFonts w:hint="eastAsia" w:ascii="仿宋_GB2312" w:hAnsi="宋体" w:eastAsia="仿宋_GB2312" w:cs="仿宋_GB2312"/>
          <w:kern w:val="0"/>
          <w:sz w:val="32"/>
          <w:szCs w:val="31"/>
          <w:u w:val="single"/>
        </w:rPr>
      </w:pPr>
      <w:r>
        <w:rPr>
          <w:rFonts w:hint="eastAsia" w:ascii="楷体_GB2312" w:hAnsi="楷体_GB2312" w:eastAsia="楷体_GB2312" w:cs="楷体_GB2312"/>
          <w:kern w:val="0"/>
          <w:sz w:val="32"/>
          <w:szCs w:val="32"/>
          <w:highlight w:val="none"/>
        </w:rPr>
        <w:t>（二）项目深化实现新突破。</w:t>
      </w:r>
      <w:r>
        <w:rPr>
          <w:rFonts w:hint="eastAsia" w:ascii="仿宋_GB2312" w:hAnsi="仿宋_GB2312" w:eastAsia="仿宋_GB2312" w:cs="仿宋_GB2312"/>
          <w:b/>
          <w:bCs/>
          <w:kern w:val="0"/>
          <w:sz w:val="32"/>
          <w:szCs w:val="32"/>
          <w:highlight w:val="none"/>
        </w:rPr>
        <w:t>项目建设成效显著。</w:t>
      </w:r>
      <w:r>
        <w:rPr>
          <w:rFonts w:hint="eastAsia" w:ascii="仿宋_GB2312" w:hAnsi="仿宋_GB2312" w:eastAsia="仿宋_GB2312" w:cs="仿宋_GB2312"/>
          <w:sz w:val="32"/>
          <w:szCs w:val="32"/>
          <w:highlight w:val="none"/>
        </w:rPr>
        <w:t>谋划项目</w:t>
      </w:r>
      <w:r>
        <w:rPr>
          <w:rFonts w:hint="eastAsia" w:ascii="仿宋_GB2312" w:hAnsi="仿宋_GB2312" w:eastAsia="仿宋_GB2312" w:cs="仿宋_GB2312"/>
          <w:sz w:val="32"/>
          <w:szCs w:val="32"/>
          <w:highlight w:val="none"/>
          <w:lang w:val="en-US" w:eastAsia="zh-CN"/>
        </w:rPr>
        <w:t>390</w:t>
      </w:r>
      <w:r>
        <w:rPr>
          <w:rFonts w:hint="eastAsia" w:ascii="仿宋_GB2312" w:hAnsi="仿宋_GB2312" w:eastAsia="仿宋_GB2312" w:cs="仿宋_GB2312"/>
          <w:sz w:val="32"/>
          <w:szCs w:val="32"/>
          <w:highlight w:val="none"/>
        </w:rPr>
        <w:t>个，省市级重点项目投资完成率均超过130%。江河绿色智能制造中心、雪花啤酒一期、华电章丘2×400MW级燃机热电等一批大项目竣工投用，山东大学龙山校区（创新港）、空天信息大学（筹）、伊莱特超大型关键核心锻造零部件等一批重大项目加快建设，全年固定资产投资增长</w:t>
      </w:r>
      <w:r>
        <w:rPr>
          <w:rFonts w:hint="eastAsia" w:ascii="仿宋_GB2312" w:hAnsi="仿宋_GB2312" w:eastAsia="仿宋_GB2312" w:cs="仿宋_GB2312"/>
          <w:sz w:val="32"/>
          <w:szCs w:val="32"/>
          <w:highlight w:val="none"/>
          <w:lang w:val="en-US" w:eastAsia="zh-CN"/>
        </w:rPr>
        <w:t>5.9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在全市重大项目现场观摩评价中取得了第3名的好成绩。</w:t>
      </w:r>
      <w:r>
        <w:rPr>
          <w:rFonts w:hint="eastAsia" w:ascii="仿宋_GB2312" w:hAnsi="仿宋_GB2312" w:eastAsia="仿宋_GB2312" w:cs="仿宋_GB2312"/>
          <w:b/>
          <w:bCs/>
          <w:kern w:val="0"/>
          <w:sz w:val="32"/>
          <w:szCs w:val="32"/>
          <w:highlight w:val="none"/>
        </w:rPr>
        <w:t>双招双引聚势赋能。</w:t>
      </w:r>
      <w:r>
        <w:rPr>
          <w:rFonts w:hint="eastAsia" w:ascii="仿宋_GB2312" w:hAnsi="仿宋_GB2312" w:eastAsia="仿宋_GB2312" w:cs="仿宋_GB2312"/>
          <w:sz w:val="32"/>
          <w:szCs w:val="32"/>
          <w:highlight w:val="none"/>
        </w:rPr>
        <w:t>组织开展章丘区-商河县重点产业场景招商推介会、汽车产业链集中签约等重大招商引资活动8次，引进万帮储能、中钰匠鑫等优质项目71个，总投资额453亿元。持续深化与德国、西班牙及港澳台等地区合作，加大对重汽济南动力、重汽济南商用车、星铂联等外资企业服务力度，全年实际使用外资</w:t>
      </w:r>
      <w:r>
        <w:rPr>
          <w:rFonts w:hint="eastAsia" w:ascii="仿宋_GB2312" w:hAnsi="仿宋_GB2312" w:eastAsia="仿宋_GB2312" w:cs="仿宋_GB2312"/>
          <w:b w:val="0"/>
          <w:bCs w:val="0"/>
          <w:kern w:val="21"/>
          <w:sz w:val="32"/>
          <w:szCs w:val="32"/>
          <w:highlight w:val="none"/>
          <w:lang w:val="en-US" w:eastAsia="zh-CN"/>
        </w:rPr>
        <w:t>1.28亿美元</w:t>
      </w:r>
      <w:r>
        <w:rPr>
          <w:rFonts w:hint="eastAsia" w:ascii="仿宋_GB2312" w:hAnsi="仿宋_GB2312" w:eastAsia="仿宋_GB2312" w:cs="仿宋_GB2312"/>
          <w:sz w:val="32"/>
          <w:szCs w:val="32"/>
          <w:highlight w:val="none"/>
        </w:rPr>
        <w:t>。大力招引新兴产业项目，</w:t>
      </w:r>
      <w:r>
        <w:rPr>
          <w:rFonts w:hint="eastAsia" w:ascii="仿宋_GB2312" w:eastAsia="仿宋_GB2312"/>
          <w:sz w:val="32"/>
          <w:szCs w:val="32"/>
          <w:highlight w:val="none"/>
        </w:rPr>
        <w:t>白泉新经济产业园新入驻企业48家、龙山数字经济产业园引入项目30</w:t>
      </w:r>
      <w:r>
        <w:rPr>
          <w:rFonts w:hint="eastAsia" w:ascii="仿宋_GB2312" w:eastAsia="仿宋_GB2312"/>
          <w:sz w:val="32"/>
          <w:szCs w:val="32"/>
          <w:highlight w:val="none"/>
          <w:lang w:val="en-US" w:eastAsia="zh-CN"/>
        </w:rPr>
        <w:t>个</w:t>
      </w:r>
      <w:r>
        <w:rPr>
          <w:rFonts w:hint="eastAsia" w:ascii="仿宋_GB2312" w:eastAsia="仿宋_GB2312"/>
          <w:sz w:val="32"/>
          <w:szCs w:val="32"/>
          <w:highlight w:val="none"/>
        </w:rPr>
        <w:t>。</w:t>
      </w:r>
      <w:r>
        <w:rPr>
          <w:rFonts w:ascii="仿宋_GB2312" w:hAnsi="宋体" w:eastAsia="仿宋_GB2312" w:cs="仿宋_GB2312"/>
          <w:kern w:val="0"/>
          <w:sz w:val="32"/>
          <w:szCs w:val="31"/>
          <w:highlight w:val="none"/>
        </w:rPr>
        <w:t>举办</w:t>
      </w:r>
      <w:r>
        <w:rPr>
          <w:rFonts w:hint="eastAsia" w:ascii="仿宋_GB2312" w:hAnsi="宋体" w:eastAsia="仿宋_GB2312" w:cs="仿宋_GB2312"/>
          <w:kern w:val="0"/>
          <w:sz w:val="32"/>
          <w:szCs w:val="31"/>
          <w:highlight w:val="none"/>
        </w:rPr>
        <w:t>中国浮选大会、女科学家论坛、全国民族陆地冰壶友谊赛、世界机器人大赛山东省选拔</w:t>
      </w:r>
      <w:r>
        <w:rPr>
          <w:rFonts w:hint="eastAsia" w:ascii="仿宋_GB2312" w:hAnsi="宋体" w:eastAsia="仿宋_GB2312" w:cs="仿宋_GB2312"/>
          <w:kern w:val="0"/>
          <w:sz w:val="32"/>
          <w:szCs w:val="31"/>
        </w:rPr>
        <w:t>赛等活动，组建章丘博士联盟，打造校友之家、人才工作站等7家引才平台，引进培养市级以上人才21名。深化校地合作，</w:t>
      </w:r>
      <w:r>
        <w:rPr>
          <w:rFonts w:hint="eastAsia" w:ascii="仿宋_GB2312" w:hAnsi="宋体" w:eastAsia="仿宋_GB2312" w:cs="仿宋_GB2312"/>
          <w:kern w:val="0"/>
          <w:sz w:val="32"/>
          <w:szCs w:val="31"/>
          <w:lang w:val="en-US" w:eastAsia="zh-CN"/>
        </w:rPr>
        <w:t>预计</w:t>
      </w:r>
      <w:r>
        <w:rPr>
          <w:rFonts w:hint="eastAsia" w:ascii="仿宋_GB2312" w:hAnsi="宋体" w:eastAsia="仿宋_GB2312" w:cs="仿宋_GB2312"/>
          <w:kern w:val="0"/>
          <w:sz w:val="32"/>
          <w:szCs w:val="31"/>
        </w:rPr>
        <w:t>完成技术合同成交额25亿元。</w:t>
      </w:r>
      <w:r>
        <w:rPr>
          <w:rFonts w:hint="eastAsia" w:ascii="仿宋_GB2312" w:eastAsia="仿宋_GB2312"/>
          <w:b/>
          <w:bCs/>
          <w:sz w:val="32"/>
          <w:szCs w:val="32"/>
        </w:rPr>
        <w:t>要素保障更加有力。</w:t>
      </w:r>
      <w:r>
        <w:rPr>
          <w:rFonts w:hint="eastAsia" w:ascii="仿宋_GB2312" w:eastAsia="仿宋_GB2312"/>
          <w:sz w:val="32"/>
          <w:szCs w:val="32"/>
        </w:rPr>
        <w:t>建立重大项目融资服务机制，年内新增贷款156亿元。设立“乡村金融驿站”，新增普惠贷款38亿元。举办融链固链优质工业产品产销对接会。完善土地超市平台，</w:t>
      </w:r>
      <w:r>
        <w:rPr>
          <w:rFonts w:hint="eastAsia" w:ascii="仿宋_GB2312" w:hAnsi="仿宋_GB2312" w:eastAsia="仿宋_GB2312" w:cs="仿宋_GB2312"/>
          <w:sz w:val="32"/>
          <w:szCs w:val="32"/>
        </w:rPr>
        <w:t>完成重点项目供地2133.6亩。</w:t>
      </w:r>
      <w:r>
        <w:rPr>
          <w:rFonts w:hint="eastAsia" w:ascii="仿宋_GB2312" w:hAnsi="仿宋_GB2312" w:eastAsia="仿宋_GB2312" w:cs="仿宋_GB2312"/>
          <w:b/>
          <w:bCs/>
          <w:kern w:val="0"/>
          <w:sz w:val="32"/>
          <w:szCs w:val="32"/>
        </w:rPr>
        <w:t>营商环境不断优化</w:t>
      </w:r>
      <w:r>
        <w:rPr>
          <w:rFonts w:hint="eastAsia" w:ascii="仿宋_GB2312" w:eastAsia="仿宋_GB2312"/>
          <w:b/>
          <w:bCs/>
          <w:sz w:val="32"/>
          <w:szCs w:val="32"/>
        </w:rPr>
        <w:t>。</w:t>
      </w:r>
      <w:r>
        <w:rPr>
          <w:rFonts w:hint="eastAsia" w:ascii="仿宋_GB2312" w:eastAsia="仿宋_GB2312"/>
          <w:sz w:val="32"/>
          <w:szCs w:val="32"/>
        </w:rPr>
        <w:t>健全“高效办成一件事”推进机制，集成化审批服务事项达到60项。12个部门、115项事项纳入工程建设项目服务专区。全面推行市场主体住所标准化登记改革，全区市场主体突破13.7万户。设立18个基层商会“亲清联系点”，相公庄商会荣获全国“四好”商会。开展“亲清会客厅”25期，解决涉企问题55个，获评全省首批“两个健康”示范区。</w:t>
      </w:r>
    </w:p>
    <w:p>
      <w:pPr>
        <w:spacing w:line="600" w:lineRule="exact"/>
        <w:ind w:firstLine="640" w:firstLineChars="200"/>
        <w:rPr>
          <w:rFonts w:hint="eastAsia" w:ascii="仿宋_GB2312" w:hAnsi="仿宋_GB2312" w:eastAsia="仿宋_GB2312" w:cs="仿宋_GB2312"/>
          <w:sz w:val="32"/>
          <w:szCs w:val="32"/>
          <w:highlight w:val="none"/>
        </w:rPr>
      </w:pPr>
      <w:r>
        <w:rPr>
          <w:rFonts w:hint="eastAsia" w:ascii="楷体_GB2312" w:hAnsi="楷体_GB2312" w:eastAsia="楷体_GB2312" w:cs="楷体_GB2312"/>
          <w:kern w:val="0"/>
          <w:sz w:val="32"/>
          <w:szCs w:val="32"/>
        </w:rPr>
        <w:t>（三）创新引领增添新动力。</w:t>
      </w:r>
      <w:r>
        <w:rPr>
          <w:rFonts w:hint="eastAsia" w:ascii="仿宋_GB2312" w:hAnsi="仿宋_GB2312" w:eastAsia="仿宋_GB2312" w:cs="仿宋_GB2312"/>
          <w:b/>
          <w:bCs/>
          <w:kern w:val="0"/>
          <w:sz w:val="32"/>
          <w:szCs w:val="32"/>
        </w:rPr>
        <w:t>重点领域改革深化提升。</w:t>
      </w:r>
      <w:r>
        <w:rPr>
          <w:rFonts w:hint="eastAsia" w:ascii="仿宋_GB2312" w:hAnsi="仿宋_GB2312" w:eastAsia="仿宋_GB2312" w:cs="仿宋_GB2312"/>
          <w:kern w:val="0"/>
          <w:sz w:val="32"/>
          <w:szCs w:val="32"/>
        </w:rPr>
        <w:t>国家产品主数据标准试点区等6个国家级改革试点落户我区。产发集团、控股集团山东泉汇公司、国开集团济南山韵公司，分别获得2A+主体信用评级。推进区属国有企业数字化改革，国开集团率先在全市成立大数据公司，双创基地荣获山东省五星级数据要素产业集聚区。</w:t>
      </w:r>
      <w:r>
        <w:rPr>
          <w:rFonts w:hint="eastAsia" w:ascii="仿宋_GB2312" w:eastAsia="仿宋_GB2312"/>
          <w:sz w:val="32"/>
          <w:szCs w:val="32"/>
        </w:rPr>
        <w:t>推进农村“房地一体”权籍调查及确权登记工作，完成不动产确权登簿13.9万户</w:t>
      </w:r>
      <w:r>
        <w:rPr>
          <w:rFonts w:hint="eastAsia" w:ascii="仿宋_GB2312" w:hAnsi="仿宋_GB2312" w:eastAsia="仿宋_GB2312" w:cs="仿宋_GB2312"/>
          <w:kern w:val="0"/>
          <w:sz w:val="32"/>
          <w:szCs w:val="32"/>
        </w:rPr>
        <w:t>。实施线上产权交易，新增交易项目549宗。推进镇级“三变”改革，集体收入过50万元的村达到90%。推进移风易俗改革，刁镇茄庄村被确定为全省生态安葬试点。</w:t>
      </w:r>
      <w:r>
        <w:rPr>
          <w:rFonts w:hint="eastAsia" w:ascii="仿宋_GB2312" w:eastAsia="仿宋_GB2312"/>
          <w:b/>
          <w:bCs/>
          <w:sz w:val="32"/>
          <w:szCs w:val="32"/>
        </w:rPr>
        <w:t>创新驱动日益增强</w:t>
      </w:r>
      <w:r>
        <w:rPr>
          <w:rFonts w:hint="eastAsia" w:ascii="仿宋_GB2312" w:eastAsia="仿宋_GB2312"/>
          <w:sz w:val="32"/>
          <w:szCs w:val="32"/>
        </w:rPr>
        <w:t>。</w:t>
      </w:r>
      <w:r>
        <w:rPr>
          <w:rFonts w:hint="eastAsia" w:ascii="仿宋_GB2312" w:hAnsi="仿宋_GB2312" w:eastAsia="仿宋_GB2312" w:cs="仿宋_GB2312"/>
          <w:sz w:val="32"/>
          <w:szCs w:val="32"/>
        </w:rPr>
        <w:t>国家科技型中小企业评价入库698家，高新技术产业产值比重达76.5%。组建全市区级第一家技术经理人协会。</w:t>
      </w:r>
      <w:r>
        <w:rPr>
          <w:rFonts w:hint="eastAsia" w:ascii="仿宋_GB2312" w:eastAsia="仿宋_GB2312" w:cs="仿宋_GB2312"/>
          <w:kern w:val="0"/>
          <w:sz w:val="32"/>
          <w:szCs w:val="32"/>
        </w:rPr>
        <w:t>企业主导或参与制定国家、行业和地方标准43项，山大地纬、圣泉集团、丰汇设备成功列入山东省重点实验室筹建名单。新认定昊月新材料、银鹰炊事等省市“一企一技术”研发中心18家，3个项目获批省重大科技创新工程项目。伊莱特核电压力容器筒轧技术开发等96个研发项目列入省级技术创新项目</w:t>
      </w:r>
      <w:r>
        <w:rPr>
          <w:rFonts w:hint="eastAsia" w:ascii="仿宋_GB2312" w:hAnsi="仿宋_GB2312" w:eastAsia="仿宋_GB2312" w:cs="仿宋_GB2312"/>
          <w:sz w:val="32"/>
          <w:szCs w:val="32"/>
        </w:rPr>
        <w:t>。</w:t>
      </w:r>
      <w:r>
        <w:rPr>
          <w:rFonts w:hint="eastAsia" w:ascii="仿宋_GB2312" w:eastAsia="仿宋_GB2312" w:cs="仿宋_GB2312"/>
          <w:kern w:val="0"/>
          <w:sz w:val="32"/>
          <w:szCs w:val="32"/>
        </w:rPr>
        <w:t>15个品牌入选“好品山东”“泉城好品”，获评推进质量强市建设工作表现突出县区。</w:t>
      </w:r>
      <w:r>
        <w:rPr>
          <w:rFonts w:hint="eastAsia" w:ascii="仿宋_GB2312" w:hAnsi="仿宋_GB2312" w:eastAsia="仿宋_GB2312" w:cs="仿宋_GB2312"/>
          <w:b/>
          <w:bCs/>
          <w:kern w:val="0"/>
          <w:sz w:val="32"/>
          <w:szCs w:val="32"/>
        </w:rPr>
        <w:t>消费活力加快释放。</w:t>
      </w:r>
      <w:r>
        <w:rPr>
          <w:rFonts w:hint="eastAsia" w:ascii="仿宋_GB2312" w:hAnsi="仿宋_GB2312" w:eastAsia="仿宋_GB2312" w:cs="仿宋_GB2312"/>
          <w:kern w:val="0"/>
          <w:sz w:val="32"/>
          <w:szCs w:val="32"/>
        </w:rPr>
        <w:t>落实消费品以旧换新政策，</w:t>
      </w:r>
      <w:r>
        <w:rPr>
          <w:rFonts w:hint="eastAsia" w:ascii="仿宋_GB2312" w:hAnsi="宋体" w:eastAsia="仿宋_GB2312" w:cs="仿宋_GB2312"/>
          <w:kern w:val="0"/>
          <w:sz w:val="32"/>
          <w:szCs w:val="31"/>
        </w:rPr>
        <w:t>开展</w:t>
      </w:r>
      <w:r>
        <w:rPr>
          <w:rFonts w:hint="eastAsia" w:ascii="仿宋_GB2312" w:hAnsi="宋体" w:eastAsia="仿宋_GB2312" w:cs="仿宋_GB2312"/>
          <w:kern w:val="0"/>
          <w:sz w:val="32"/>
          <w:szCs w:val="31"/>
          <w:lang w:val="en-US" w:eastAsia="zh-CN"/>
        </w:rPr>
        <w:t>一系列</w:t>
      </w:r>
      <w:r>
        <w:rPr>
          <w:rFonts w:hint="eastAsia" w:ascii="仿宋_GB2312" w:hAnsi="宋体" w:eastAsia="仿宋_GB2312" w:cs="仿宋_GB2312"/>
          <w:kern w:val="0"/>
          <w:sz w:val="32"/>
          <w:szCs w:val="31"/>
        </w:rPr>
        <w:t>促消费活动，</w:t>
      </w:r>
      <w:r>
        <w:rPr>
          <w:rFonts w:hint="eastAsia" w:ascii="仿宋_GB2312" w:hAnsi="仿宋_GB2312" w:eastAsia="仿宋_GB2312" w:cs="仿宋_GB2312"/>
          <w:sz w:val="32"/>
          <w:szCs w:val="32"/>
          <w:highlight w:val="none"/>
        </w:rPr>
        <w:t>实现社会消费品零售总额</w:t>
      </w:r>
      <w:r>
        <w:rPr>
          <w:rFonts w:hint="eastAsia" w:ascii="仿宋_GB2312" w:hAnsi="仿宋_GB2312" w:eastAsia="仿宋_GB2312" w:cs="仿宋_GB2312"/>
          <w:sz w:val="32"/>
          <w:szCs w:val="32"/>
          <w:highlight w:val="none"/>
          <w:lang w:val="en-US" w:eastAsia="zh-CN"/>
        </w:rPr>
        <w:t>320.5</w:t>
      </w:r>
      <w:r>
        <w:rPr>
          <w:rFonts w:hint="eastAsia" w:ascii="仿宋_GB2312" w:hAnsi="仿宋_GB2312" w:eastAsia="仿宋_GB2312" w:cs="仿宋_GB2312"/>
          <w:sz w:val="32"/>
          <w:szCs w:val="32"/>
          <w:highlight w:val="none"/>
        </w:rPr>
        <w:t>亿元、增长</w:t>
      </w: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w:t>
      </w:r>
      <w:r>
        <w:rPr>
          <w:rFonts w:hint="eastAsia" w:ascii="仿宋_GB2312" w:hAnsi="宋体" w:eastAsia="仿宋_GB2312" w:cs="仿宋_GB2312"/>
          <w:kern w:val="0"/>
          <w:sz w:val="32"/>
          <w:szCs w:val="31"/>
          <w:highlight w:val="none"/>
        </w:rPr>
        <w:t>。</w:t>
      </w:r>
      <w:r>
        <w:rPr>
          <w:rFonts w:hint="eastAsia" w:ascii="仿宋_GB2312" w:hAnsi="仿宋_GB2312" w:eastAsia="仿宋_GB2312" w:cs="仿宋_GB2312"/>
          <w:sz w:val="32"/>
          <w:szCs w:val="32"/>
        </w:rPr>
        <w:t>成立消费品产业联盟，</w:t>
      </w:r>
      <w:r>
        <w:rPr>
          <w:rFonts w:hint="eastAsia" w:ascii="仿宋_GB2312" w:hAnsi="宋体" w:eastAsia="仿宋_GB2312" w:cs="仿宋_GB2312"/>
          <w:kern w:val="0"/>
          <w:sz w:val="32"/>
          <w:szCs w:val="31"/>
        </w:rPr>
        <w:t>改造提升社区一刻钟便民生活圈4个，落户</w:t>
      </w:r>
      <w:r>
        <w:rPr>
          <w:rFonts w:hint="eastAsia" w:ascii="仿宋_GB2312" w:hAnsi="仿宋_GB2312" w:eastAsia="仿宋_GB2312" w:cs="仿宋_GB2312"/>
          <w:sz w:val="32"/>
          <w:szCs w:val="32"/>
        </w:rPr>
        <w:t>中国首店、山东首店2家。</w:t>
      </w:r>
      <w:r>
        <w:rPr>
          <w:rFonts w:hint="eastAsia" w:ascii="仿宋_GB2312" w:hAnsi="宋体" w:eastAsia="仿宋_GB2312" w:cs="仿宋_GB2312"/>
          <w:kern w:val="0"/>
          <w:sz w:val="32"/>
          <w:szCs w:val="31"/>
        </w:rPr>
        <w:t>明水古城数字人民币消费集聚区挂牌。创新文旅产品消费，章丘大葱等</w:t>
      </w:r>
      <w:r>
        <w:rPr>
          <w:rFonts w:hint="eastAsia" w:ascii="仿宋_GB2312" w:hAnsi="宋体" w:eastAsia="仿宋_GB2312" w:cs="仿宋_GB2312"/>
          <w:kern w:val="0"/>
          <w:sz w:val="32"/>
          <w:szCs w:val="31"/>
          <w:highlight w:val="none"/>
        </w:rPr>
        <w:t>入选2024“好客山东 好品山东”旅游必购品</w:t>
      </w:r>
      <w:r>
        <w:rPr>
          <w:rFonts w:hint="eastAsia" w:ascii="仿宋_GB2312" w:hAnsi="仿宋_GB2312" w:eastAsia="仿宋_GB2312" w:cs="仿宋_GB2312"/>
          <w:sz w:val="32"/>
          <w:szCs w:val="32"/>
          <w:highlight w:val="none"/>
        </w:rPr>
        <w:t>。</w:t>
      </w:r>
    </w:p>
    <w:p>
      <w:pPr>
        <w:spacing w:line="600" w:lineRule="exact"/>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highlight w:val="none"/>
        </w:rPr>
        <w:t>（四）乡村振兴</w:t>
      </w:r>
      <w:r>
        <w:rPr>
          <w:rFonts w:hint="eastAsia" w:ascii="楷体_GB2312" w:hAnsi="楷体_GB2312" w:eastAsia="楷体_GB2312" w:cs="楷体_GB2312"/>
          <w:kern w:val="0"/>
          <w:sz w:val="32"/>
          <w:szCs w:val="32"/>
          <w:highlight w:val="none"/>
          <w:lang w:val="en-US" w:eastAsia="zh-CN"/>
        </w:rPr>
        <w:t>开创新局面</w:t>
      </w:r>
      <w:r>
        <w:rPr>
          <w:rFonts w:hint="eastAsia" w:ascii="楷体_GB2312" w:hAnsi="楷体_GB2312" w:eastAsia="楷体_GB2312" w:cs="楷体_GB2312"/>
          <w:kern w:val="0"/>
          <w:sz w:val="32"/>
          <w:szCs w:val="32"/>
          <w:highlight w:val="none"/>
        </w:rPr>
        <w:t>。</w:t>
      </w:r>
      <w:r>
        <w:rPr>
          <w:rFonts w:hint="eastAsia" w:ascii="仿宋_GB2312" w:hAnsi="仿宋_GB2312" w:eastAsia="仿宋_GB2312" w:cs="仿宋_GB2312"/>
          <w:b/>
          <w:bCs/>
          <w:kern w:val="0"/>
          <w:sz w:val="32"/>
          <w:szCs w:val="32"/>
          <w:highlight w:val="none"/>
        </w:rPr>
        <w:t>粮食安全保障有力。</w:t>
      </w:r>
      <w:r>
        <w:rPr>
          <w:rFonts w:hint="eastAsia" w:ascii="仿宋_GB2312" w:hAnsi="仿宋_GB2312" w:eastAsia="仿宋_GB2312" w:cs="仿宋_GB2312"/>
          <w:sz w:val="32"/>
          <w:szCs w:val="32"/>
          <w:highlight w:val="none"/>
        </w:rPr>
        <w:t>坚决遏制耕地“非农化”“非粮化”，新建和改造提升高标准农田4.55万亩，完成5家“菜篮子”工程保供园区建设。实</w:t>
      </w:r>
      <w:r>
        <w:rPr>
          <w:rFonts w:hint="eastAsia" w:ascii="仿宋_GB2312" w:hAnsi="仿宋_GB2312" w:eastAsia="仿宋_GB2312" w:cs="仿宋_GB2312"/>
          <w:sz w:val="32"/>
          <w:szCs w:val="32"/>
        </w:rPr>
        <w:t>施“吨粮田”建设工程，启动主要粮油作物“双提双减”行动，</w:t>
      </w:r>
      <w:r>
        <w:rPr>
          <w:rFonts w:hint="eastAsia" w:ascii="仿宋_GB2312" w:hAnsi="仿宋_GB2312" w:eastAsia="仿宋_GB2312" w:cs="仿宋_GB2312"/>
          <w:kern w:val="0"/>
          <w:sz w:val="32"/>
          <w:szCs w:val="32"/>
        </w:rPr>
        <w:t>全年粮食总产量</w:t>
      </w:r>
      <w:r>
        <w:rPr>
          <w:rFonts w:hint="eastAsia" w:ascii="仿宋_GB2312" w:hAnsi="仿宋_GB2312" w:eastAsia="仿宋_GB2312" w:cs="仿宋_GB2312"/>
          <w:kern w:val="0"/>
          <w:sz w:val="32"/>
          <w:szCs w:val="32"/>
          <w:lang w:val="en-US" w:eastAsia="zh-CN"/>
        </w:rPr>
        <w:t>64.6</w:t>
      </w:r>
      <w:r>
        <w:rPr>
          <w:rFonts w:hint="eastAsia" w:ascii="仿宋_GB2312" w:hAnsi="仿宋_GB2312" w:eastAsia="仿宋_GB2312" w:cs="仿宋_GB2312"/>
          <w:kern w:val="0"/>
          <w:sz w:val="32"/>
          <w:szCs w:val="32"/>
        </w:rPr>
        <w:t>万吨。</w:t>
      </w:r>
      <w:r>
        <w:rPr>
          <w:rFonts w:hint="eastAsia" w:ascii="仿宋_GB2312" w:hAnsi="仿宋_GB2312" w:eastAsia="仿宋_GB2312" w:cs="仿宋_GB2312"/>
          <w:b/>
          <w:bCs/>
          <w:kern w:val="0"/>
          <w:sz w:val="32"/>
          <w:szCs w:val="32"/>
        </w:rPr>
        <w:t>现代农业提档升级。</w:t>
      </w:r>
      <w:r>
        <w:rPr>
          <w:rFonts w:hint="eastAsia" w:ascii="仿宋_GB2312" w:hAnsi="仿宋_GB2312" w:eastAsia="仿宋_GB2312" w:cs="仿宋_GB2312"/>
          <w:kern w:val="0"/>
          <w:sz w:val="32"/>
          <w:szCs w:val="32"/>
        </w:rPr>
        <w:t>推动莓香龙山、粮食仓储等“一村一业、一村一策”项目扩容提质，加快伟丽种苗、东方骄子、三生万物等种业企业做大做强。创建5家省级智慧农业应用基地、17家市级以上科技小院、17处市级以上生态农业示范点，获批全省县域数字农业发展县。新认定省市级农业产业化龙头企业6家，市级优势产业集群领军及骨干企业7家，规上农产品加工企业达到51家。完成“郎山药谷”新建项目、泉城百花园提升项目，新增“泉水人家”授权企业12家，市级以上农业品牌产品达到216个，全国名特优新农产品达到5个，获评全省现代农业强县。</w:t>
      </w:r>
      <w:r>
        <w:rPr>
          <w:rFonts w:hint="eastAsia" w:ascii="仿宋_GB2312" w:hAnsi="仿宋_GB2312" w:eastAsia="仿宋_GB2312" w:cs="仿宋_GB2312"/>
          <w:b/>
          <w:bCs/>
          <w:kern w:val="0"/>
          <w:sz w:val="32"/>
          <w:szCs w:val="32"/>
        </w:rPr>
        <w:t>和美乡村加快建设</w:t>
      </w:r>
      <w:r>
        <w:rPr>
          <w:rFonts w:hint="eastAsia" w:ascii="仿宋_GB2312" w:hAnsi="仿宋_GB2312" w:eastAsia="仿宋_GB2312" w:cs="仿宋_GB2312"/>
          <w:kern w:val="0"/>
          <w:sz w:val="32"/>
          <w:szCs w:val="32"/>
        </w:rPr>
        <w:t>。完成国家传统村落集中连片保护利用示范工作，打造3个乡村绿化提升示范片区。提升“三涧溪”省级乡村振兴齐鲁样板示范区，实施“诗画文祖”省级衔接乡村振兴集中推进区项目，打造“齐鲁古道•山水新章”市级泉韵乡居示范片区。</w:t>
      </w:r>
      <w:r>
        <w:rPr>
          <w:rFonts w:hint="eastAsia" w:ascii="仿宋_GB2312" w:hAnsi="仿宋_GB2312" w:eastAsia="仿宋_GB2312" w:cs="仿宋_GB2312"/>
          <w:kern w:val="0"/>
          <w:sz w:val="32"/>
          <w:szCs w:val="32"/>
          <w:highlight w:val="none"/>
        </w:rPr>
        <w:t>在全市乡村振兴现场观摩评价中取得第</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名的好成绩。新建数字乡村59个，获批第二批全省数字乡村试点。守牢不发生规模性返贫致贫</w:t>
      </w:r>
      <w:r>
        <w:rPr>
          <w:rFonts w:hint="eastAsia" w:ascii="仿宋_GB2312" w:hAnsi="仿宋_GB2312" w:eastAsia="仿宋_GB2312" w:cs="仿宋_GB2312"/>
          <w:kern w:val="0"/>
          <w:sz w:val="32"/>
          <w:szCs w:val="32"/>
        </w:rPr>
        <w:t>的底线，争取上级衔接项目资金6400万元，实施项目61个。加强东西部协作，完成对口帮扶积石山县各项任务。</w:t>
      </w:r>
    </w:p>
    <w:p>
      <w:pPr>
        <w:spacing w:line="600" w:lineRule="exact"/>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（五）文旅名城展现新形象。</w:t>
      </w:r>
      <w:r>
        <w:rPr>
          <w:rFonts w:hint="eastAsia" w:ascii="仿宋_GB2312" w:hAnsi="仿宋_GB2312" w:eastAsia="仿宋_GB2312" w:cs="仿宋_GB2312"/>
          <w:b/>
          <w:bCs/>
          <w:sz w:val="32"/>
          <w:szCs w:val="32"/>
        </w:rPr>
        <w:t>发展框架持续拓展。</w:t>
      </w:r>
      <w:r>
        <w:rPr>
          <w:rFonts w:hint="eastAsia" w:ascii="仿宋_GB2312" w:hAnsi="仿宋_GB2312" w:eastAsia="仿宋_GB2312" w:cs="仿宋_GB2312"/>
          <w:sz w:val="32"/>
          <w:szCs w:val="32"/>
        </w:rPr>
        <w:t>章丘城市组团列入济南主城，</w:t>
      </w:r>
      <w:r>
        <w:rPr>
          <w:rFonts w:hint="eastAsia" w:ascii="仿宋_GB2312" w:hAnsi="仿宋_GB2312" w:eastAsia="仿宋_GB2312" w:cs="仿宋_GB2312"/>
          <w:kern w:val="0"/>
          <w:sz w:val="32"/>
          <w:szCs w:val="32"/>
        </w:rPr>
        <w:t>完成《章丘区国土空间分区规划（2021-2035）》编制工作，启动</w:t>
      </w:r>
      <w:r>
        <w:rPr>
          <w:rFonts w:hint="eastAsia" w:ascii="仿宋_GB2312" w:hAnsi="仿宋_GB2312" w:eastAsia="仿宋_GB2312" w:cs="仿宋_GB2312"/>
          <w:sz w:val="32"/>
          <w:szCs w:val="32"/>
        </w:rPr>
        <w:t>城区片区</w:t>
      </w:r>
      <w:r>
        <w:rPr>
          <w:rFonts w:hint="eastAsia" w:ascii="仿宋_GB2312" w:eastAsia="仿宋_GB2312"/>
          <w:sz w:val="32"/>
          <w:szCs w:val="32"/>
        </w:rPr>
        <w:t>控制性详细规划编制。</w:t>
      </w:r>
      <w:r>
        <w:rPr>
          <w:rFonts w:hint="eastAsia" w:ascii="仿宋_GB2312" w:hAnsi="仿宋_GB2312" w:eastAsia="仿宋_GB2312" w:cs="仿宋_GB2312"/>
          <w:kern w:val="0"/>
          <w:sz w:val="32"/>
          <w:szCs w:val="32"/>
        </w:rPr>
        <w:t>采取房票模式完成埠村城中村改造一期项目。</w:t>
      </w:r>
      <w:r>
        <w:rPr>
          <w:rFonts w:hint="eastAsia" w:ascii="仿宋_GB2312" w:hAnsi="仿宋_GB2312" w:eastAsia="仿宋_GB2312" w:cs="仿宋_GB2312"/>
          <w:b/>
          <w:bCs/>
          <w:sz w:val="32"/>
          <w:szCs w:val="32"/>
        </w:rPr>
        <w:t>交通体系持续完善。</w:t>
      </w:r>
      <w:r>
        <w:rPr>
          <w:rFonts w:hint="eastAsia" w:ascii="仿宋_GB2312" w:hAnsi="仿宋_GB2312" w:eastAsia="仿宋_GB2312" w:cs="仿宋_GB2312"/>
          <w:sz w:val="32"/>
          <w:szCs w:val="32"/>
        </w:rPr>
        <w:t>G309济南淄博界至章丘胡山大街段改扩建工程、济南绕城高速二环线北环段工程建成通车，轨道交通8号线、庆章高速加快建设。</w:t>
      </w:r>
      <w:r>
        <w:rPr>
          <w:rFonts w:ascii="仿宋_GB2312" w:hAnsi="仿宋_GB2312" w:eastAsia="仿宋_GB2312" w:cs="仿宋_GB2312"/>
          <w:kern w:val="0"/>
          <w:sz w:val="32"/>
          <w:szCs w:val="32"/>
        </w:rPr>
        <w:t>小清河</w:t>
      </w:r>
      <w:r>
        <w:rPr>
          <w:rFonts w:hint="eastAsia" w:ascii="仿宋_GB2312" w:hAnsi="仿宋_GB2312" w:eastAsia="仿宋_GB2312" w:cs="仿宋_GB2312"/>
          <w:kern w:val="0"/>
          <w:sz w:val="32"/>
          <w:szCs w:val="32"/>
        </w:rPr>
        <w:t>章丘港实现内外贸一体化运输。</w:t>
      </w:r>
      <w:r>
        <w:rPr>
          <w:rFonts w:hint="eastAsia" w:ascii="仿宋_GB2312" w:hAnsi="仿宋_GB2312" w:eastAsia="仿宋_GB2312" w:cs="仿宋_GB2312"/>
          <w:b/>
          <w:bCs/>
          <w:sz w:val="32"/>
          <w:szCs w:val="32"/>
        </w:rPr>
        <w:t>城市</w:t>
      </w:r>
      <w:r>
        <w:rPr>
          <w:rFonts w:hint="eastAsia" w:ascii="仿宋_GB2312" w:eastAsia="仿宋_GB2312"/>
          <w:b/>
          <w:bCs/>
          <w:sz w:val="32"/>
          <w:szCs w:val="32"/>
        </w:rPr>
        <w:t>功能持续增强。</w:t>
      </w:r>
      <w:r>
        <w:rPr>
          <w:rFonts w:hint="eastAsia" w:ascii="仿宋_GB2312" w:hAnsi="仿宋_GB2312" w:eastAsia="仿宋_GB2312" w:cs="仿宋_GB2312"/>
          <w:sz w:val="32"/>
          <w:szCs w:val="32"/>
        </w:rPr>
        <w:t>第五水质净化厂、</w:t>
      </w:r>
      <w:r>
        <w:rPr>
          <w:rFonts w:hint="eastAsia" w:ascii="仿宋_GB2312" w:eastAsia="仿宋_GB2312"/>
          <w:sz w:val="32"/>
          <w:szCs w:val="32"/>
        </w:rPr>
        <w:t>云湖水厂供水管网及配水厂</w:t>
      </w:r>
      <w:r>
        <w:rPr>
          <w:rFonts w:hint="eastAsia" w:ascii="仿宋_GB2312" w:hAnsi="仿宋_GB2312" w:eastAsia="仿宋_GB2312" w:cs="仿宋_GB2312"/>
          <w:sz w:val="32"/>
          <w:szCs w:val="32"/>
        </w:rPr>
        <w:t>等重点项目</w:t>
      </w:r>
      <w:r>
        <w:rPr>
          <w:rFonts w:hint="eastAsia" w:ascii="仿宋_GB2312" w:eastAsia="仿宋_GB2312"/>
          <w:sz w:val="32"/>
          <w:szCs w:val="32"/>
        </w:rPr>
        <w:t>建成运营，城乡供水一体化（二期）、水质提升工程等项目主体完工。</w:t>
      </w:r>
      <w:r>
        <w:rPr>
          <w:rFonts w:hint="eastAsia" w:ascii="仿宋_GB2312" w:hAnsi="黑体" w:eastAsia="仿宋_GB2312"/>
          <w:sz w:val="32"/>
          <w:szCs w:val="32"/>
        </w:rPr>
        <w:t>优化调整4条公交线路，投放共享电单车2000辆。</w:t>
      </w:r>
      <w:r>
        <w:rPr>
          <w:rFonts w:hint="eastAsia" w:ascii="仿宋_GB2312" w:hAnsi="楷体" w:eastAsia="仿宋_GB2312"/>
          <w:sz w:val="32"/>
          <w:szCs w:val="32"/>
        </w:rPr>
        <w:t>完成市政路灯节能智慧提升一期工程</w:t>
      </w:r>
      <w:r>
        <w:rPr>
          <w:rFonts w:hint="eastAsia" w:ascii="仿宋_GB2312" w:hAnsi="仿宋_GB2312" w:eastAsia="仿宋_GB2312" w:cs="仿宋_GB2312"/>
          <w:sz w:val="32"/>
          <w:szCs w:val="32"/>
        </w:rPr>
        <w:t>。</w:t>
      </w:r>
      <w:r>
        <w:rPr>
          <w:rFonts w:hint="eastAsia" w:ascii="仿宋_GB2312" w:eastAsia="仿宋_GB2312"/>
          <w:sz w:val="32"/>
          <w:szCs w:val="32"/>
        </w:rPr>
        <w:t>深入开展城市精细化管理集中整治。</w:t>
      </w:r>
      <w:r>
        <w:rPr>
          <w:rFonts w:hint="eastAsia" w:ascii="仿宋_GB2312" w:hAnsi="仿宋_GB2312" w:eastAsia="仿宋_GB2312" w:cs="仿宋_GB2312"/>
          <w:b/>
          <w:bCs/>
          <w:sz w:val="32"/>
          <w:szCs w:val="32"/>
        </w:rPr>
        <w:t>文旅融合持续深化</w:t>
      </w:r>
      <w:r>
        <w:rPr>
          <w:rFonts w:hint="eastAsia" w:ascii="仿宋_GB2312" w:hAnsi="仿宋_GB2312" w:eastAsia="仿宋_GB2312" w:cs="仿宋_GB2312"/>
          <w:sz w:val="32"/>
          <w:szCs w:val="32"/>
        </w:rPr>
        <w:t>。华侨城“国家宝藏”入选第一批全国智慧旅游沉浸式体验新空间培育试点，龙山瓷文化创意园创建3A级景区，明水古城入选济南市非遗打卡点。若谷山居乡村酒店被评为山东省首批五星级乡村酒店。开展第四次全国文物普查，完成齐长城遗址抢险加固保护工程。</w:t>
      </w:r>
      <w:r>
        <w:rPr>
          <w:rFonts w:hint="eastAsia" w:ascii="仿宋_GB2312" w:hAnsi="仿宋_GB2312" w:eastAsia="仿宋_GB2312" w:cs="仿宋_GB2312"/>
          <w:kern w:val="0"/>
          <w:sz w:val="32"/>
          <w:szCs w:val="32"/>
        </w:rPr>
        <w:t>“一村一年一戏”入选全省文化产业赋能乡村振兴典型案例。</w:t>
      </w:r>
      <w:r>
        <w:rPr>
          <w:rFonts w:hint="eastAsia" w:ascii="仿宋_GB2312" w:hAnsi="仿宋_GB2312" w:eastAsia="仿宋_GB2312" w:cs="仿宋_GB2312"/>
          <w:sz w:val="32"/>
          <w:szCs w:val="32"/>
        </w:rPr>
        <w:t>龙山文化、焦家遗址写入全国统编历史教科书。</w:t>
      </w:r>
      <w:r>
        <w:rPr>
          <w:rFonts w:hint="eastAsia" w:ascii="仿宋_GB2312" w:eastAsia="仿宋_GB2312"/>
          <w:b/>
          <w:bCs/>
          <w:sz w:val="32"/>
          <w:szCs w:val="32"/>
        </w:rPr>
        <w:t>生态环境持续提升。</w:t>
      </w:r>
      <w:r>
        <w:rPr>
          <w:rFonts w:hint="eastAsia" w:ascii="仿宋_GB2312" w:hAnsi="楷体" w:eastAsia="仿宋_GB2312"/>
          <w:sz w:val="32"/>
          <w:szCs w:val="32"/>
        </w:rPr>
        <w:t>深入推进扬尘精细化管控等十大专项整治行动</w:t>
      </w:r>
      <w:r>
        <w:rPr>
          <w:rFonts w:hint="eastAsia" w:ascii="仿宋_GB2312" w:eastAsia="仿宋_GB2312"/>
          <w:sz w:val="32"/>
          <w:szCs w:val="32"/>
        </w:rPr>
        <w:t>，</w:t>
      </w:r>
      <w:r>
        <w:rPr>
          <w:rFonts w:hint="eastAsia" w:ascii="仿宋_GB2312" w:hAnsi="仿宋_GB2312" w:eastAsia="仿宋_GB2312" w:cs="仿宋_GB2312"/>
          <w:sz w:val="32"/>
          <w:szCs w:val="32"/>
        </w:rPr>
        <w:t>全区空气质量同比改善</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%，优良天数占比67.</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%、同比增加</w:t>
      </w:r>
      <w:r>
        <w:rPr>
          <w:rFonts w:hint="eastAsia" w:ascii="仿宋_GB2312" w:hAnsi="仿宋_GB2312" w:eastAsia="仿宋_GB2312" w:cs="仿宋_GB2312"/>
          <w:sz w:val="32"/>
          <w:szCs w:val="32"/>
          <w:lang w:val="en-US" w:eastAsia="zh-CN"/>
        </w:rPr>
        <w:t>7.2</w:t>
      </w:r>
      <w:r>
        <w:rPr>
          <w:rFonts w:hint="eastAsia" w:ascii="仿宋_GB2312" w:hAnsi="仿宋_GB2312" w:eastAsia="仿宋_GB2312" w:cs="仿宋_GB2312"/>
          <w:sz w:val="32"/>
          <w:szCs w:val="32"/>
        </w:rPr>
        <w:t>个百分点。</w:t>
      </w:r>
      <w:r>
        <w:rPr>
          <w:rFonts w:hint="eastAsia" w:ascii="仿宋_GB2312" w:hAnsi="楷体" w:eastAsia="仿宋_GB2312"/>
          <w:sz w:val="32"/>
          <w:szCs w:val="32"/>
        </w:rPr>
        <w:t>全力做好迎接第三轮省级环保督察工作。</w:t>
      </w:r>
      <w:r>
        <w:rPr>
          <w:rFonts w:hint="eastAsia" w:ascii="仿宋_GB2312" w:hAnsi="仿宋_GB2312" w:eastAsia="仿宋_GB2312" w:cs="仿宋_GB2312"/>
          <w:sz w:val="32"/>
          <w:szCs w:val="32"/>
        </w:rPr>
        <w:t>完成黄河下游章丘段防洪、白云山小流域综合治理、白云湖国家湿地保护修复等项目，全力抓好国省控断面水质管控工作。开展森林抚育9500亩、荒山造林7600亩，治理恢复破损山体3处，</w:t>
      </w:r>
      <w:r>
        <w:rPr>
          <w:rFonts w:hint="eastAsia" w:ascii="仿宋_GB2312" w:hAnsi="黑体" w:eastAsia="仿宋_GB2312"/>
          <w:sz w:val="32"/>
          <w:szCs w:val="32"/>
        </w:rPr>
        <w:t>明水小站公园迎接全国铁路沿线安全环境治理现场观摩</w:t>
      </w:r>
      <w:r>
        <w:rPr>
          <w:rFonts w:hint="eastAsia"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（六）民生保障取得新成效。</w:t>
      </w:r>
      <w:r>
        <w:rPr>
          <w:rFonts w:hint="eastAsia" w:ascii="仿宋_GB2312" w:hAnsi="仿宋_GB2312" w:eastAsia="仿宋_GB2312" w:cs="仿宋_GB2312"/>
          <w:b/>
          <w:bCs/>
          <w:kern w:val="0"/>
          <w:sz w:val="32"/>
          <w:szCs w:val="32"/>
        </w:rPr>
        <w:t>民生福祉不断增进。</w:t>
      </w:r>
      <w:r>
        <w:rPr>
          <w:rFonts w:hint="eastAsia" w:ascii="仿宋_GB2312" w:hAnsi="仿宋_GB2312" w:eastAsia="仿宋_GB2312" w:cs="仿宋_GB2312"/>
          <w:sz w:val="32"/>
          <w:szCs w:val="32"/>
        </w:rPr>
        <w:t>20件民生实事项目圆满完成。优先抓好稳就业，</w:t>
      </w:r>
      <w:r>
        <w:rPr>
          <w:rFonts w:hint="eastAsia" w:ascii="仿宋_GB2312" w:hAnsi="黑体" w:eastAsia="仿宋_GB2312"/>
          <w:sz w:val="32"/>
          <w:szCs w:val="32"/>
        </w:rPr>
        <w:t>开发城乡公益岗2223个，新增城镇就业8232人</w:t>
      </w:r>
      <w:r>
        <w:rPr>
          <w:rFonts w:hint="eastAsia" w:ascii="仿宋_GB2312" w:hAnsi="仿宋_GB2312" w:eastAsia="仿宋_GB2312" w:cs="仿宋_GB2312"/>
          <w:sz w:val="32"/>
          <w:szCs w:val="32"/>
        </w:rPr>
        <w:t>。章丘人力资源服务产业园投入运营，建成10处就业驿站。免费为7796位适龄妇女办理“两癌”保险，为3665位群众实施白内障手术救助。</w:t>
      </w:r>
      <w:r>
        <w:rPr>
          <w:rFonts w:hint="eastAsia" w:ascii="仿宋_GB2312" w:hAnsi="仿宋_GB2312" w:eastAsia="仿宋_GB2312" w:cs="仿宋_GB2312"/>
          <w:b/>
          <w:bCs/>
          <w:sz w:val="32"/>
          <w:szCs w:val="32"/>
        </w:rPr>
        <w:t>社会保障持续加强</w:t>
      </w:r>
      <w:r>
        <w:rPr>
          <w:rFonts w:hint="eastAsia" w:ascii="仿宋_GB2312" w:hAnsi="仿宋_GB2312" w:eastAsia="仿宋_GB2312" w:cs="仿宋_GB2312"/>
          <w:sz w:val="32"/>
          <w:szCs w:val="32"/>
        </w:rPr>
        <w:t>。白云路以西、埠东等5个安置房建成交付。“保交房”工作有序落实。城市低保、特困等9类困难群众11项保障标准提高5%以上。</w:t>
      </w:r>
      <w:r>
        <w:rPr>
          <w:rFonts w:hint="eastAsia" w:ascii="仿宋_GB2312" w:hAnsi="仿宋_GB2312" w:eastAsia="仿宋_GB2312" w:cs="仿宋_GB2312"/>
          <w:kern w:val="0"/>
          <w:sz w:val="32"/>
          <w:szCs w:val="32"/>
        </w:rPr>
        <w:t>退役军人安置政策扎实落实。五顶山殡仪馆建设如期竣工</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新建养老服务设施8处，入选第二批幸福家园村社互助工程全国联动示范县。</w:t>
      </w:r>
      <w:r>
        <w:rPr>
          <w:rFonts w:hint="eastAsia" w:ascii="仿宋_GB2312" w:hAnsi="仿宋_GB2312" w:eastAsia="仿宋_GB2312" w:cs="仿宋_GB2312"/>
          <w:b/>
          <w:bCs/>
          <w:kern w:val="0"/>
          <w:sz w:val="32"/>
          <w:szCs w:val="32"/>
        </w:rPr>
        <w:t>公共服务均衡提升。</w:t>
      </w:r>
      <w:r>
        <w:rPr>
          <w:rFonts w:hint="eastAsia" w:ascii="仿宋_GB2312" w:hAnsi="仿宋_GB2312" w:eastAsia="仿宋_GB2312" w:cs="仿宋_GB2312"/>
          <w:kern w:val="0"/>
          <w:sz w:val="32"/>
          <w:szCs w:val="32"/>
        </w:rPr>
        <w:t>新增普惠性幼儿园学位540个，学前普惠率达到93.6%。章丘四中绣源河校区开工建设，济南山大实验学校、绣源小学加快推进，完成5所学校提升改造。开展各类赛事活动500余项，荣获山东省第十四届全民健身运动会先进单位。启用区人民医院东院区、逸乐医院门诊综合楼，新建医养中心4处。我区作为</w:t>
      </w:r>
      <w:r>
        <w:rPr>
          <w:rFonts w:hint="eastAsia" w:ascii="仿宋_GB2312" w:hAnsi="仿宋_GB2312" w:eastAsia="仿宋_GB2312" w:cs="仿宋_GB2312"/>
          <w:kern w:val="0"/>
          <w:sz w:val="32"/>
          <w:szCs w:val="32"/>
          <w:lang w:val="en-US" w:eastAsia="zh-CN"/>
        </w:rPr>
        <w:t>全市</w:t>
      </w:r>
      <w:r>
        <w:rPr>
          <w:rFonts w:hint="eastAsia" w:ascii="仿宋_GB2312" w:hAnsi="仿宋_GB2312" w:eastAsia="仿宋_GB2312" w:cs="仿宋_GB2312"/>
          <w:kern w:val="0"/>
          <w:sz w:val="32"/>
          <w:szCs w:val="32"/>
        </w:rPr>
        <w:t>唯一区县入选省级县域医疗卫生高质量发展项目。</w:t>
      </w:r>
      <w:r>
        <w:rPr>
          <w:rFonts w:hint="eastAsia" w:ascii="仿宋_GB2312" w:hAnsi="仿宋_GB2312" w:eastAsia="仿宋_GB2312" w:cs="仿宋_GB2312"/>
          <w:b/>
          <w:bCs/>
          <w:kern w:val="0"/>
          <w:sz w:val="32"/>
          <w:szCs w:val="32"/>
        </w:rPr>
        <w:t>社会治理精细高效。</w:t>
      </w:r>
      <w:r>
        <w:rPr>
          <w:rFonts w:hint="eastAsia" w:ascii="仿宋_GB2312" w:hAnsi="仿宋_GB2312" w:eastAsia="仿宋_GB2312" w:cs="仿宋_GB2312"/>
          <w:kern w:val="0"/>
          <w:sz w:val="32"/>
          <w:szCs w:val="32"/>
        </w:rPr>
        <w:t>推进安全生产治本攻坚三年行动，常态化开展安全生产“审计式”监督检查</w:t>
      </w:r>
      <w:r>
        <w:rPr>
          <w:rFonts w:hint="eastAsia" w:ascii="仿宋_GB2312" w:hAnsi="仿宋_GB2312" w:eastAsia="仿宋_GB2312" w:cs="仿宋_GB2312"/>
          <w:kern w:val="0"/>
          <w:sz w:val="32"/>
          <w:szCs w:val="32"/>
          <w:lang w:val="en-US" w:eastAsia="zh-CN"/>
        </w:rPr>
        <w:t>服务</w:t>
      </w:r>
      <w:r>
        <w:rPr>
          <w:rFonts w:hint="eastAsia" w:ascii="仿宋_GB2312" w:hAnsi="仿宋_GB2312" w:eastAsia="仿宋_GB2312" w:cs="仿宋_GB2312"/>
          <w:kern w:val="0"/>
          <w:sz w:val="32"/>
          <w:szCs w:val="32"/>
        </w:rPr>
        <w:t>。全面推进信访工作法治化，</w:t>
      </w:r>
      <w:r>
        <w:rPr>
          <w:rFonts w:hint="eastAsia" w:ascii="仿宋_GB2312" w:hAnsi="仿宋_GB2312" w:eastAsia="仿宋_GB2312" w:cs="仿宋_GB2312"/>
          <w:sz w:val="32"/>
          <w:szCs w:val="32"/>
        </w:rPr>
        <w:t>深入开展“信访问题源头治理深化年”活动，一批重点积案有效化解。</w:t>
      </w:r>
      <w:r>
        <w:rPr>
          <w:rFonts w:hint="eastAsia" w:ascii="仿宋_GB2312" w:hAnsi="仿宋_GB2312" w:eastAsia="仿宋_GB2312" w:cs="仿宋_GB2312"/>
          <w:kern w:val="0"/>
          <w:sz w:val="32"/>
          <w:szCs w:val="32"/>
        </w:rPr>
        <w:t>深化网格治理提效行动，城市社区实现“一格一员”。</w:t>
      </w:r>
      <w:r>
        <w:rPr>
          <w:rFonts w:hint="eastAsia" w:ascii="仿宋_GB2312" w:hAnsi="仿宋_GB2312" w:eastAsia="仿宋_GB2312" w:cs="仿宋_GB2312"/>
          <w:sz w:val="32"/>
          <w:szCs w:val="32"/>
        </w:rPr>
        <w:t>“多网融合、一网协同”数字化基层治理模式入选全国政法智能化建设智慧治理创新案例。“八五”普法深入开展。</w:t>
      </w:r>
      <w:r>
        <w:rPr>
          <w:rFonts w:hint="eastAsia" w:ascii="仿宋_GB2312" w:hAnsi="仿宋_GB2312" w:eastAsia="仿宋_GB2312" w:cs="仿宋_GB2312"/>
          <w:kern w:val="0"/>
          <w:sz w:val="32"/>
          <w:szCs w:val="32"/>
        </w:rPr>
        <w:t>同时，国防双拥、民族宗教、档案史志、地震气象、妇女儿童、外事侨务、退役军人、慈善、红十字会、残疾人等事业都取得新进步。</w:t>
      </w:r>
    </w:p>
    <w:p>
      <w:pPr>
        <w:spacing w:line="600" w:lineRule="exact"/>
        <w:ind w:firstLine="640" w:firstLineChars="200"/>
        <w:rPr>
          <w:rFonts w:hint="eastAsia" w:ascii="仿宋_GB2312" w:eastAsia="仿宋_GB2312"/>
          <w:sz w:val="32"/>
          <w:szCs w:val="32"/>
        </w:rPr>
      </w:pPr>
      <w:r>
        <w:rPr>
          <w:rFonts w:hint="eastAsia" w:ascii="楷体_GB2312" w:hAnsi="楷体_GB2312" w:eastAsia="楷体_GB2312" w:cs="楷体_GB2312"/>
          <w:kern w:val="0"/>
          <w:sz w:val="32"/>
          <w:szCs w:val="32"/>
        </w:rPr>
        <w:t>（七）政府自身建设得到新加强。</w:t>
      </w:r>
      <w:r>
        <w:rPr>
          <w:rFonts w:hint="eastAsia" w:ascii="仿宋_GB2312" w:eastAsia="仿宋_GB2312"/>
          <w:sz w:val="32"/>
          <w:szCs w:val="32"/>
        </w:rPr>
        <w:t>扎实开展党纪学习教育。自觉接受人大及其常委会监督、政协民主监督，高质量办理区人大代表建议172件、政协提案256件。法治政府建设纵深推进，重大事项合法性审查、规范性文件评估等制度有力落实。加快数字政府建设，“数字章丘轻应用赋能中心”进入数字中国建设峰会典型案例参展。政务服务改革持续优化，完善“一网通办”，全区依申请政务服务事项网上可办率99.7%。全面深化街镇管理体制改革，精简街镇行政内设机构40个、事业单位16家。严格财政资金绩效管理，强化审计监督，严控一般性支出和“三公”经费，牢牢守住“三保”底线。坚决抓好各级巡视、督查、审计等问题整改。强化统计监督，高标准完成“五经普”工作。严格落实中央八项规定及其实施细则精神，驰而不息纠治“四风”，政府系统党风廉政建设持续深化。</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u w:val="none"/>
        </w:rPr>
        <w:t>各位代表</w:t>
      </w:r>
      <w:r>
        <w:rPr>
          <w:rFonts w:hint="eastAsia" w:ascii="仿宋_GB2312" w:hAnsi="仿宋_GB2312" w:eastAsia="仿宋_GB2312" w:cs="仿宋_GB2312"/>
          <w:kern w:val="0"/>
          <w:sz w:val="32"/>
          <w:szCs w:val="32"/>
          <w:u w:val="none"/>
          <w:lang w:eastAsia="zh-CN"/>
        </w:rPr>
        <w:t>，</w:t>
      </w:r>
      <w:r>
        <w:rPr>
          <w:rFonts w:hint="eastAsia" w:ascii="仿宋_GB2312" w:hAnsi="仿宋_GB2312" w:eastAsia="仿宋_GB2312" w:cs="仿宋_GB2312"/>
          <w:color w:val="000000"/>
          <w:spacing w:val="15"/>
          <w:kern w:val="0"/>
          <w:sz w:val="32"/>
          <w:szCs w:val="32"/>
          <w:u w:val="none"/>
          <w:lang w:val="en-US" w:eastAsia="zh-CN"/>
        </w:rPr>
        <w:t>看似寻常最奇崛，成如容易却艰辛！这些成绩的取得，</w:t>
      </w:r>
      <w:r>
        <w:rPr>
          <w:rFonts w:hint="eastAsia" w:ascii="仿宋_GB2312" w:hAnsi="仿宋_GB2312" w:eastAsia="仿宋_GB2312" w:cs="仿宋_GB2312"/>
          <w:kern w:val="0"/>
          <w:sz w:val="32"/>
          <w:szCs w:val="32"/>
        </w:rPr>
        <w:t>是市委、市政府和区委坚强领导的结果，是区人大、区政协和社会各界监督支持的结果，是全区</w:t>
      </w:r>
      <w:r>
        <w:rPr>
          <w:rFonts w:hint="eastAsia" w:ascii="仿宋_GB2312" w:hAnsi="仿宋_GB2312" w:eastAsia="仿宋_GB2312" w:cs="仿宋_GB2312"/>
          <w:kern w:val="0"/>
          <w:sz w:val="32"/>
          <w:szCs w:val="32"/>
          <w:lang w:val="en-US" w:eastAsia="zh-CN"/>
        </w:rPr>
        <w:t>各级干部和全体</w:t>
      </w:r>
      <w:r>
        <w:rPr>
          <w:rFonts w:hint="eastAsia" w:ascii="仿宋_GB2312" w:hAnsi="仿宋_GB2312" w:eastAsia="仿宋_GB2312" w:cs="仿宋_GB2312"/>
          <w:kern w:val="0"/>
          <w:sz w:val="32"/>
          <w:szCs w:val="32"/>
        </w:rPr>
        <w:t>人民团结奋斗、顽强拼搏的结果。在此，我代表区人民政府，向全区广大干部群众，向各位人大代表、政协委员，向各民主党派、工商联、无党派人士、各人民团体，向离退休老同志，向驻章各类机构、企业和部队，致以崇高的敬意和衷心的感谢！</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看到成绩的同时，我们也清醒认识到，当前，经济社会发展中还存在不少困难和问题。主要有：推动经济高质量发展体制机制还不够健全，有效需求不足，稳增长压力依然很大；传统产业转型升级步伐不够快，战略性新兴产业起步较慢；项目支撑不足，大体量、高质量项目偏少；外向型经济、民营经济还有很多短板；财政收支矛盾加剧，“三保”压力增大；城市管理治理精细化不够；安全生产、社会稳定、生态环保等还存在薄弱环节；政府系统部分干部作风不够严实，政务服务效能仍需持续提升。对于这些问题，我们将高度重视，认真研究解决。</w:t>
      </w: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二、2025年重点工作安排</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2025年是实施“十四五”规划的收官之年，也是加快建设现代化强区的重要一年。今年政府工作的总体要求是：</w:t>
      </w:r>
      <w:r>
        <w:rPr>
          <w:rFonts w:hint="eastAsia" w:ascii="黑体" w:hAnsi="黑体" w:eastAsia="黑体" w:cs="黑体"/>
          <w:sz w:val="32"/>
          <w:szCs w:val="32"/>
        </w:rPr>
        <w:t>坚持以习近平新时代中国特色社会主义思想为指导，深入贯彻落实党的二十大和二十届二中、三中全会精神，全面贯彻中央经济工作会议精神，深入贯彻习近平总书记对山东工作的重要指示要求，坚持稳中求进工作总基调，完整准确全面贯彻新发展理念，锚定“走在前、挑大梁”重大使命，对标对表“强新优富美高”重点任务，咬定建设现代化强区奋斗目标，以项目提升为牵引，带动现代产业、改革开放、新型城镇化、乡村振兴、民生改善、社会治理全面提升，凝心聚力推动高质量发展，奋力谱写新时代社会主义现代化强区新篇章。</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济社会发展主要预期目标是：地区生产总值增长5.5%左右；一般公共预算收入增长3%左右；规模以上工业增加值增长7.5%左右；固定资产投资增长2%左右；社会消费品零售总额增长3.5%左右；城乡居民人均可支配收入分别增长5.5%和6%以上；完成济南市下达的节能减排降碳约束性指标和环境质量改善目标。</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围绕实现上述目标要求，全力抓好以下九个方面工作。</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（一）全力抓好项目提升，持续积蓄发展后劲</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高标准谋划项目。</w:t>
      </w:r>
      <w:r>
        <w:rPr>
          <w:rFonts w:hint="eastAsia" w:ascii="仿宋_GB2312" w:hAnsi="仿宋_GB2312" w:eastAsia="仿宋_GB2312" w:cs="仿宋_GB2312"/>
          <w:sz w:val="32"/>
          <w:szCs w:val="32"/>
        </w:rPr>
        <w:t>坚持招商引资和本土企业增资扩产并重，全年储备项目360个以上，总投资900亿元以上。抢抓一揽子增量政策机遇，围绕“两重”“两新”“三大工程”领域策划包装项目，引进实施投资过50亿元项目2个、10亿元项目10个以上。落实“揭榜挂帅”机制，依托重点行业和六大产业链发布“产业项目榜单”，新谋划重点产业项目300个以上。加快城市建设、水利设施等领域强基础补短板，以高质量项目建设推动城市品质提升。</w:t>
      </w:r>
      <w:r>
        <w:rPr>
          <w:rFonts w:hint="eastAsia" w:ascii="仿宋_GB2312" w:hAnsi="仿宋_GB2312" w:eastAsia="仿宋_GB2312" w:cs="仿宋_GB2312"/>
          <w:sz w:val="32"/>
          <w:szCs w:val="32"/>
          <w:lang w:val="en-US" w:eastAsia="zh-CN"/>
        </w:rPr>
        <w:t>聚焦民生领域，谋划实施</w:t>
      </w:r>
      <w:r>
        <w:rPr>
          <w:rFonts w:hint="eastAsia" w:ascii="仿宋_GB2312" w:hAnsi="仿宋_GB2312" w:eastAsia="仿宋_GB2312" w:cs="仿宋_GB2312"/>
          <w:sz w:val="32"/>
          <w:szCs w:val="32"/>
        </w:rPr>
        <w:t>教育、医疗、养老、生态环境等民生项目。</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高效能推进项目。</w:t>
      </w:r>
      <w:r>
        <w:rPr>
          <w:rFonts w:hint="eastAsia" w:ascii="仿宋_GB2312" w:hAnsi="仿宋_GB2312" w:eastAsia="仿宋_GB2312" w:cs="仿宋_GB2312"/>
          <w:sz w:val="32"/>
          <w:szCs w:val="32"/>
        </w:rPr>
        <w:t>全年加快建设284个结转项目，抓好175个预计新增入库纳统项目，推动更多项目纳入省市重点项目盘子。坚定不移大抓产业项目，加快明泉绿色高效肥料产业链、圣泉先进材料创新基地等项目建设，推进山东瑞沣、万帮储能等签约项目开工建设。稳步推进基础设施项目，积极谋划S241改建、章枣高速等重点项目，服务保障新升热电煤电机组关停热源替代、黄台电厂迁建等项目建设。</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高水平招引项目。</w:t>
      </w:r>
      <w:r>
        <w:rPr>
          <w:rFonts w:hint="eastAsia" w:ascii="仿宋_GB2312" w:hAnsi="仿宋_GB2312" w:eastAsia="仿宋_GB2312" w:cs="仿宋_GB2312"/>
          <w:b w:val="0"/>
          <w:bCs w:val="0"/>
          <w:sz w:val="32"/>
          <w:szCs w:val="32"/>
          <w:lang w:val="en-US" w:eastAsia="zh-CN"/>
        </w:rPr>
        <w:t>积极</w:t>
      </w:r>
      <w:r>
        <w:rPr>
          <w:rFonts w:hint="eastAsia" w:ascii="仿宋_GB2312" w:hAnsi="仿宋_GB2312" w:eastAsia="仿宋_GB2312" w:cs="仿宋_GB2312"/>
          <w:sz w:val="32"/>
          <w:szCs w:val="32"/>
        </w:rPr>
        <w:t>探索招商引资新模式。深化链式招商，聚焦汽车、新材料等六大产业链绘制招商图谱，全力推动智能制造、空天信息等新兴产业建链强链，加快山东华海、恒鲁生物等链上核心配套项目签约落地。深化平台招商，依托国家级明水经济技术开发区、省级刁镇化工产业园招引一批具有支撑性和牵引性的重大项目，力争引进落地致远新能源汽车核心部件等一批过10亿元的大项目。深化以商招商，用好跨国公司领导人青岛峰会、儒商大会等平台，充分发挥</w:t>
      </w:r>
      <w:r>
        <w:rPr>
          <w:rFonts w:hint="eastAsia" w:ascii="仿宋_GB2312" w:hAnsi="仿宋_GB2312" w:eastAsia="仿宋_GB2312" w:cs="仿宋_GB2312"/>
          <w:sz w:val="32"/>
          <w:szCs w:val="32"/>
          <w:lang w:val="en-US" w:eastAsia="zh-CN"/>
        </w:rPr>
        <w:t>北京、上海、深圳等</w:t>
      </w:r>
      <w:r>
        <w:rPr>
          <w:rFonts w:hint="eastAsia" w:ascii="仿宋_GB2312" w:hAnsi="仿宋_GB2312" w:eastAsia="仿宋_GB2312" w:cs="仿宋_GB2312"/>
          <w:sz w:val="32"/>
          <w:szCs w:val="32"/>
        </w:rPr>
        <w:t>7家异地商会作用，策划一批有影响力的城市招商推介活动，进一步激发民营企业投资潜力。深化资本招商，加强与省、市投资平台对接，发挥区属国有企业资本优势，拓展股权投资等多种市场化方式，积极推动航天驭星、星河动力等优质项目落地。</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高质量服务项目。</w:t>
      </w:r>
      <w:r>
        <w:rPr>
          <w:rFonts w:hint="eastAsia" w:ascii="仿宋_GB2312" w:hAnsi="仿宋_GB2312" w:eastAsia="仿宋_GB2312" w:cs="仿宋_GB2312"/>
          <w:sz w:val="32"/>
          <w:szCs w:val="32"/>
        </w:rPr>
        <w:t>深化“五个一”项目管理机制。持续推动节能审查便捷化。完善“招商要素一张图”“土地超市”平台，提高精细精准集约供地水平。大力处置批而未供和闲置土地。发挥产业引导基金作用，大力发展耐心资本。发挥科技金融示范基地作用。深化金融伙伴机制，推广“金融驿站”建设，为企业提供“一站式”金融服务。</w:t>
      </w:r>
    </w:p>
    <w:p>
      <w:pPr>
        <w:spacing w:line="600" w:lineRule="exact"/>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各位代表！项目兴则产业兴，项目强则经济强。我们要下好项目谋划“先手棋”、牵牢项目推进“牛鼻子”、抓实项目招引“生命线”，擦亮项目服务“金招牌”，以源源不断的项目增量汇聚高质量发展的强大动力。</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（二）全力打造工业强区，持续壮大新质生产力</w:t>
      </w:r>
    </w:p>
    <w:p>
      <w:pPr>
        <w:spacing w:line="600" w:lineRule="exact"/>
        <w:ind w:firstLine="643" w:firstLineChars="200"/>
        <w:rPr>
          <w:rFonts w:ascii="仿宋_GB2312" w:eastAsia="仿宋_GB2312"/>
          <w:sz w:val="32"/>
          <w:szCs w:val="32"/>
        </w:rPr>
      </w:pPr>
      <w:r>
        <w:rPr>
          <w:rFonts w:hint="eastAsia" w:ascii="仿宋_GB2312" w:eastAsia="仿宋_GB2312"/>
          <w:b/>
          <w:bCs/>
          <w:sz w:val="32"/>
          <w:szCs w:val="32"/>
        </w:rPr>
        <w:t>推动产业升级。</w:t>
      </w:r>
      <w:r>
        <w:rPr>
          <w:rFonts w:hint="eastAsia" w:ascii="仿宋_GB2312" w:eastAsia="仿宋_GB2312"/>
          <w:sz w:val="32"/>
          <w:szCs w:val="32"/>
        </w:rPr>
        <w:t>精准强链延链，实施北京中材人工晶体院迁建、明化新材料高性能胺基新材料等100个以上技改项目，工业技改投资增长15%</w:t>
      </w:r>
      <w:r>
        <w:rPr>
          <w:rFonts w:hint="eastAsia" w:ascii="仿宋_GB2312" w:eastAsia="仿宋_GB2312"/>
          <w:sz w:val="32"/>
          <w:szCs w:val="32"/>
          <w:lang w:val="en-US" w:eastAsia="zh-CN"/>
        </w:rPr>
        <w:t>左右</w:t>
      </w:r>
      <w:r>
        <w:rPr>
          <w:rFonts w:hint="eastAsia" w:ascii="仿宋_GB2312" w:eastAsia="仿宋_GB2312"/>
          <w:sz w:val="32"/>
          <w:szCs w:val="32"/>
        </w:rPr>
        <w:t>。加快主导产业集群强链升级。交通装备产业领域，着力推进临工二期中辰新能源车电驱动系统等重点项目建设，持续增强产业链韧性。新材料产业领域，加快实施圣泉电子化学品和碳材料生产基地等项目，完善高端新材料产业体系。加快新兴产业集群建链成群。生物医药产业领域，推进泰邦生物血浆制品、昱龙生物干细胞等延链补链项目建设，积极培育医美、医疗检测、医疗大数据等新业态。新一代信息技术产业领域，抓好山东蓝海领航大数据中心二期等重点项目，增强大数据、高端软件、人工智能等产业竞争力。加快传统产业集群延链提效。机械装备产业领域，重点加快山东章鼓核电风机智能车间、华东风机磁悬浮智能制造等项目建设，推动传统制造业提质焕新。食品饮料产业领域，推动雪花啤酒、银鹭、可口可乐等企业做大做强，提升产业竞争力。</w:t>
      </w:r>
    </w:p>
    <w:p>
      <w:pPr>
        <w:spacing w:line="600" w:lineRule="exact"/>
        <w:ind w:firstLine="643" w:firstLineChars="200"/>
        <w:rPr>
          <w:rFonts w:ascii="仿宋_GB2312" w:eastAsia="仿宋_GB2312"/>
          <w:sz w:val="32"/>
          <w:szCs w:val="32"/>
        </w:rPr>
      </w:pPr>
      <w:r>
        <w:rPr>
          <w:rFonts w:hint="eastAsia" w:ascii="仿宋_GB2312" w:eastAsia="仿宋_GB2312"/>
          <w:b/>
          <w:bCs/>
          <w:sz w:val="32"/>
          <w:szCs w:val="32"/>
        </w:rPr>
        <w:t>做好园区载体。</w:t>
      </w:r>
      <w:r>
        <w:rPr>
          <w:rFonts w:hint="eastAsia" w:ascii="仿宋_GB2312" w:eastAsia="仿宋_GB2312"/>
          <w:sz w:val="32"/>
          <w:szCs w:val="32"/>
        </w:rPr>
        <w:t>大力支持明水经济技术开发区高质量发展，细化三大片区产业规划。依托山大地纬产业园、龙山数字经济产业园等数字经济核心园区，构建数据存、算、用一体的全产业链发展格局。加快推进</w:t>
      </w:r>
      <w:r>
        <w:rPr>
          <w:rFonts w:hint="eastAsia" w:ascii="仿宋_GB2312" w:hAnsi="仿宋_GB2312" w:eastAsia="仿宋_GB2312" w:cs="仿宋_GB2312"/>
          <w:sz w:val="32"/>
          <w:szCs w:val="32"/>
        </w:rPr>
        <w:t>山东（济南）智能制造模具产业园</w:t>
      </w:r>
      <w:r>
        <w:rPr>
          <w:rFonts w:hint="eastAsia" w:ascii="仿宋_GB2312" w:eastAsia="仿宋_GB2312"/>
          <w:sz w:val="32"/>
          <w:szCs w:val="32"/>
        </w:rPr>
        <w:t>、空天信息产业园、低空经济产业基地等专业园区规划建设，撬动智能制造、晶体材料、低空经济等新兴产业拔节起势。</w:t>
      </w:r>
    </w:p>
    <w:p>
      <w:pPr>
        <w:spacing w:line="600" w:lineRule="exact"/>
        <w:ind w:firstLine="643" w:firstLineChars="200"/>
        <w:rPr>
          <w:rFonts w:ascii="仿宋_GB2312" w:eastAsia="仿宋_GB2312"/>
          <w:sz w:val="32"/>
          <w:szCs w:val="32"/>
        </w:rPr>
      </w:pPr>
      <w:r>
        <w:rPr>
          <w:rFonts w:hint="eastAsia" w:ascii="仿宋_GB2312" w:eastAsia="仿宋_GB2312"/>
          <w:b/>
          <w:bCs/>
          <w:sz w:val="32"/>
          <w:szCs w:val="32"/>
        </w:rPr>
        <w:t>做优实数融合。</w:t>
      </w:r>
      <w:r>
        <w:rPr>
          <w:rFonts w:hint="eastAsia" w:ascii="仿宋_GB2312" w:eastAsia="仿宋_GB2312"/>
          <w:sz w:val="32"/>
          <w:szCs w:val="32"/>
        </w:rPr>
        <w:t>积极布局人工智能、大数据、云计算等数字产业，促进实体经济和数字经济深度融合。持续开展“工赋章丘”专项行动，加快推进云改数转、数智赋能，分行业培育5个以上数字化转型样板，实现50家以上中小企业数字化转型。加快推进数字基础设施建设，新增5G基站500个。完善区一体化大数据平台功能，公共数据质量提升10%以上。有序推进公共数据授权运营，开发数据产品10个以上。</w:t>
      </w:r>
    </w:p>
    <w:p>
      <w:pPr>
        <w:spacing w:line="600" w:lineRule="exact"/>
        <w:ind w:firstLine="643" w:firstLineChars="200"/>
        <w:rPr>
          <w:rFonts w:ascii="仿宋_GB2312" w:eastAsia="仿宋_GB2312"/>
          <w:sz w:val="32"/>
          <w:szCs w:val="32"/>
        </w:rPr>
      </w:pPr>
      <w:r>
        <w:rPr>
          <w:rFonts w:hint="eastAsia" w:ascii="仿宋_GB2312" w:eastAsia="仿宋_GB2312"/>
          <w:b/>
          <w:bCs/>
          <w:sz w:val="32"/>
          <w:szCs w:val="32"/>
        </w:rPr>
        <w:t>做大现代服务业。</w:t>
      </w:r>
      <w:r>
        <w:rPr>
          <w:rFonts w:hint="eastAsia" w:ascii="仿宋_GB2312" w:eastAsia="仿宋_GB2312"/>
          <w:sz w:val="32"/>
          <w:szCs w:val="32"/>
        </w:rPr>
        <w:t>加快现代服务业扩容提质，新增规模以上服务业企业10家。提升金融服务水平，推动普惠信贷增量扩面，白泉新经济产业园新增入驻企业40家，本外币贷款余额突破</w:t>
      </w:r>
      <w:r>
        <w:rPr>
          <w:rFonts w:hint="eastAsia" w:ascii="仿宋_GB2312" w:eastAsia="仿宋_GB2312"/>
          <w:sz w:val="32"/>
          <w:szCs w:val="32"/>
          <w:lang w:val="en-US" w:eastAsia="zh-CN"/>
        </w:rPr>
        <w:t>1350</w:t>
      </w:r>
      <w:r>
        <w:rPr>
          <w:rFonts w:hint="eastAsia" w:ascii="仿宋_GB2312" w:eastAsia="仿宋_GB2312"/>
          <w:sz w:val="32"/>
          <w:szCs w:val="32"/>
        </w:rPr>
        <w:t>亿元，金融业增加值完成15亿元。提升物流服务水平，积极融入全市“四港三区”枢纽新城建设，加快推进东欣物流园、小清河章丘港配套物流园等重点项目建设。</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（三）全力扩大有效需求，持续抓好经济运行</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大力提振消费。</w:t>
      </w:r>
      <w:r>
        <w:rPr>
          <w:rFonts w:hint="eastAsia" w:ascii="仿宋_GB2312" w:hAnsi="仿宋_GB2312" w:eastAsia="仿宋_GB2312" w:cs="仿宋_GB2312"/>
          <w:sz w:val="32"/>
          <w:szCs w:val="32"/>
        </w:rPr>
        <w:t>着力优化消费供给，全面推进消费品以旧换新，扩大新能源汽车消费，提振房地产消费，大力发展医疗健康、家政服务、银发经济等产业，满足群众多元化消费需求。着力升级消费载体，加快章丘印象城、海荟广场、龙禧公馆、君临天下酒店综合体等项目建设，实施一刻钟便民生活圈改造，新引进知名首店2家以上。着力创新消费业态，发展“1+1+N”服务型消费经济，积极推动城市公园+消费、景区+消费，培育繁荣外来消费、夜间消费、智慧消费。着力挖掘消费潜力，高质量办好“畅享泉城购、好品在章丘”2025消费节，联合金融机构、电商平台、各类企业打造线上线下消费场景，全年开展50场以上促消费活动，形成“季季有主题、月月有热点、周周有场景”的浓厚氛围。</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扩大有效投资。</w:t>
      </w:r>
      <w:r>
        <w:rPr>
          <w:rFonts w:hint="eastAsia" w:ascii="仿宋_GB2312" w:hAnsi="仿宋_GB2312" w:eastAsia="仿宋_GB2312" w:cs="仿宋_GB2312"/>
          <w:sz w:val="32"/>
          <w:szCs w:val="32"/>
        </w:rPr>
        <w:t>充分发挥政府投资作用，积极争取超长期特别国债、中央预算内投资、地方政府专项债券，支持重大项目、重大工程建设。着力提高投资质量效益，稳步提升高技术产业、战略</w:t>
      </w:r>
      <w:r>
        <w:rPr>
          <w:rFonts w:hint="eastAsia" w:ascii="仿宋_GB2312" w:hAnsi="仿宋_GB2312" w:eastAsia="仿宋_GB2312" w:cs="仿宋_GB2312"/>
          <w:sz w:val="32"/>
          <w:szCs w:val="32"/>
          <w:lang w:val="en-US" w:eastAsia="zh-CN"/>
        </w:rPr>
        <w:t>性</w:t>
      </w:r>
      <w:r>
        <w:rPr>
          <w:rFonts w:hint="eastAsia" w:ascii="仿宋_GB2312" w:hAnsi="仿宋_GB2312" w:eastAsia="仿宋_GB2312" w:cs="仿宋_GB2312"/>
          <w:sz w:val="32"/>
          <w:szCs w:val="32"/>
        </w:rPr>
        <w:t>新兴产业、四新经济等投资占比。大力激发民间投资活力，建立区属国有企业与民营企业长效联系机制。吸引更多民间资本参与重大项目和重点领域投资，民间投资占比提高3个百分点。</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拓展外贸外资。</w:t>
      </w:r>
      <w:r>
        <w:rPr>
          <w:rFonts w:hint="eastAsia" w:ascii="仿宋_GB2312" w:hAnsi="仿宋_GB2312" w:eastAsia="仿宋_GB2312" w:cs="仿宋_GB2312"/>
          <w:sz w:val="32"/>
          <w:szCs w:val="32"/>
        </w:rPr>
        <w:t>主动融入“一带一路”，依托章丘产业海外发展协会，积极拓展东盟、俄罗斯、非洲等市场，推动本土企业抱团出海。支持企业培育自主品牌，健全海外营销网络，巩固法兰、钢球、化工等产品出口优势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扩大二手车出口规模。大力培育出口企业主体，做大龙山跨境电商产业基地，新培育外贸实绩企业50家以上，货物进出口总额增长6%。开展外资企业“利润再投资攻坚”行动，力争全年利用外资1亿美元。</w:t>
      </w:r>
    </w:p>
    <w:p>
      <w:pPr>
        <w:spacing w:line="600" w:lineRule="exact"/>
        <w:ind w:firstLine="640"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sz w:val="32"/>
          <w:szCs w:val="32"/>
        </w:rPr>
        <w:t>（四）全力深化改革攻坚，持续释放发展动能</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狠抓重点领域改革。</w:t>
      </w:r>
      <w:r>
        <w:rPr>
          <w:rFonts w:hint="eastAsia" w:ascii="仿宋_GB2312" w:hAnsi="仿宋_GB2312" w:eastAsia="仿宋_GB2312" w:cs="仿宋_GB2312"/>
          <w:sz w:val="32"/>
          <w:szCs w:val="32"/>
        </w:rPr>
        <w:t>深化国资国企改革，加快国企市场化转型。持续深化开发区体制机制改革。推进财政管理改革，加强政府债务、隐性债务、城投债务三债统一管理，探索推进零基预算改革。做好科技金融、绿色金融、普惠金融、养老金融、数字金融五篇大文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严守不发生系统性金融风险底线。完成万达</w:t>
      </w:r>
      <w:r>
        <w:rPr>
          <w:rFonts w:hint="eastAsia" w:ascii="仿宋_GB2312" w:hAnsi="仿宋_GB2312" w:eastAsia="仿宋_GB2312" w:cs="仿宋_GB2312"/>
          <w:sz w:val="32"/>
          <w:szCs w:val="32"/>
          <w:lang w:val="en-US" w:eastAsia="zh-CN"/>
        </w:rPr>
        <w:t>广场</w:t>
      </w:r>
      <w:r>
        <w:rPr>
          <w:rFonts w:hint="eastAsia" w:ascii="仿宋_GB2312" w:hAnsi="仿宋_GB2312" w:eastAsia="仿宋_GB2312" w:cs="仿宋_GB2312"/>
          <w:sz w:val="32"/>
          <w:szCs w:val="32"/>
        </w:rPr>
        <w:t>保交房任务，有效防范化解房地产风险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推动构建房地产发展新模式。深化全域“三变”改革，实施省级农业综合改革项目，积极创建国家乡村振兴示范县。</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打造一流营商环境。</w:t>
      </w:r>
      <w:r>
        <w:rPr>
          <w:rFonts w:hint="eastAsia" w:ascii="仿宋_GB2312" w:hAnsi="仿宋_GB2312" w:eastAsia="仿宋_GB2312" w:cs="仿宋_GB2312"/>
          <w:sz w:val="32"/>
          <w:szCs w:val="32"/>
        </w:rPr>
        <w:t>扎实推进“高效办成一件事”，拓展更多“一件事”服务场景，推动70项高频服务事项集成办、承诺办。深化企业全生命周期服务改革，建立企业准入、准营、变更、退出全链条服务机制，</w:t>
      </w:r>
      <w:r>
        <w:rPr>
          <w:rFonts w:hint="eastAsia" w:ascii="仿宋_GB2312" w:hAnsi="仿宋_GB2312" w:eastAsia="仿宋_GB2312" w:cs="仿宋_GB2312"/>
          <w:sz w:val="32"/>
          <w:szCs w:val="32"/>
          <w:shd w:val="clear" w:color="auto" w:fill="FFFFFF"/>
        </w:rPr>
        <w:t>激发市场主体活力。</w:t>
      </w:r>
      <w:r>
        <w:rPr>
          <w:rFonts w:hint="eastAsia" w:ascii="仿宋_GB2312" w:hAnsi="仿宋_GB2312" w:eastAsia="仿宋_GB2312" w:cs="仿宋_GB2312"/>
          <w:sz w:val="32"/>
          <w:szCs w:val="32"/>
        </w:rPr>
        <w:t>深化工程建设项目“六即”服务，强化跨部门业务、数据协同，推动工程审批改革持续走在全市前列。优化“亲清会客厅”政企常态化沟通机制，推动企业诉求“一口受理”“闭环解决”。利用“泉惠企”服务平台，推动政策兑现全量线上办理。推出经营主体“代位变更”、工业项目“租赁即办证”等一批改革成果，推动政务服务提能增值。深化“双随机、一公开”监管，最大限度实现“进一次门，查多项事”。</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大力发展民营经济。</w:t>
      </w:r>
      <w:r>
        <w:rPr>
          <w:rFonts w:hint="eastAsia" w:ascii="仿宋_GB2312" w:hAnsi="仿宋_GB2312" w:eastAsia="仿宋_GB2312" w:cs="仿宋_GB2312"/>
          <w:sz w:val="32"/>
          <w:szCs w:val="32"/>
        </w:rPr>
        <w:t>发挥民营企业专家智库作用，开展点对点入企诊断服务活动100次以上。完善大宗生产资料集采平台，降低企业生产成本。优化金融供给，做实“铸锻产业贷”“攀登贷”“专精特新贷”“绿色产业贷”等政策性担保贷款产品，</w:t>
      </w:r>
      <w:r>
        <w:rPr>
          <w:rFonts w:hint="eastAsia" w:ascii="仿宋_GB2312" w:hAnsi="仿宋_GB2312" w:eastAsia="仿宋_GB2312" w:cs="仿宋_GB2312"/>
          <w:sz w:val="32"/>
          <w:szCs w:val="32"/>
          <w:lang w:val="en-US" w:eastAsia="zh-CN"/>
        </w:rPr>
        <w:t>扩</w:t>
      </w:r>
      <w:r>
        <w:rPr>
          <w:rFonts w:hint="eastAsia" w:ascii="仿宋_GB2312" w:hAnsi="仿宋_GB2312" w:eastAsia="仿宋_GB2312" w:cs="仿宋_GB2312"/>
          <w:sz w:val="32"/>
          <w:szCs w:val="32"/>
        </w:rPr>
        <w:t>大对制造业等重点产业的信贷投放规模。大力弘扬企业家精神，办好章丘“企业家日”活动，实施新生代企业家能力提升工程。</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rPr>
        <w:t>各位代表！民营经济和民营企业从来都是在战胜挑战中发展、在风雨洗礼中成长、在历经考验中壮大。我们将始终坚持“两个毫不动摇”“三个没有变”，积极营造重视民营企业、发展民营经济的浓厚氛围，</w:t>
      </w:r>
      <w:r>
        <w:rPr>
          <w:rFonts w:hint="eastAsia" w:ascii="仿宋_GB2312" w:hAnsi="仿宋_GB2312" w:eastAsia="仿宋_GB2312" w:cs="仿宋_GB2312"/>
          <w:sz w:val="32"/>
          <w:szCs w:val="32"/>
          <w:u w:val="none"/>
          <w:lang w:val="en-US" w:eastAsia="zh-CN"/>
        </w:rPr>
        <w:t>积极帮助民营企业解决问题、克服困难，</w:t>
      </w:r>
      <w:r>
        <w:rPr>
          <w:rFonts w:hint="eastAsia" w:ascii="仿宋_GB2312" w:hAnsi="仿宋_GB2312" w:eastAsia="仿宋_GB2312" w:cs="仿宋_GB2312"/>
          <w:sz w:val="32"/>
          <w:szCs w:val="32"/>
          <w:u w:val="none"/>
        </w:rPr>
        <w:t>让广大企业家和从业者在章丘放心投资、安心创业、舒心生活，共同开创民营经济高质量发展新局面！</w:t>
      </w:r>
    </w:p>
    <w:p>
      <w:pPr>
        <w:spacing w:line="600" w:lineRule="exact"/>
        <w:ind w:firstLine="640"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sz w:val="32"/>
          <w:szCs w:val="32"/>
        </w:rPr>
        <w:t>（五）全力实施创新驱动，持续打造科教强区</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大力发展教育事业。</w:t>
      </w:r>
      <w:r>
        <w:rPr>
          <w:rFonts w:hint="eastAsia" w:ascii="仿宋_GB2312" w:hAnsi="仿宋_GB2312" w:eastAsia="仿宋_GB2312" w:cs="仿宋_GB2312"/>
          <w:sz w:val="32"/>
          <w:szCs w:val="32"/>
        </w:rPr>
        <w:t>深化教育综合改革，统筹推进育人方式改革</w:t>
      </w:r>
      <w:r>
        <w:rPr>
          <w:rFonts w:hint="eastAsia" w:ascii="仿宋_GB2312" w:hAnsi="仿宋_GB2312" w:eastAsia="仿宋_GB2312" w:cs="仿宋_GB2312"/>
          <w:spacing w:val="15"/>
          <w:kern w:val="0"/>
          <w:sz w:val="32"/>
          <w:szCs w:val="32"/>
        </w:rPr>
        <w:t>。</w:t>
      </w:r>
      <w:r>
        <w:rPr>
          <w:rFonts w:hint="eastAsia" w:ascii="仿宋_GB2312" w:hAnsi="仿宋_GB2312" w:eastAsia="仿宋_GB2312" w:cs="仿宋_GB2312"/>
          <w:sz w:val="32"/>
          <w:szCs w:val="32"/>
        </w:rPr>
        <w:t>稳步扩增普惠性学前教育资源，推进清照蘭庭配建幼儿园举办为区属实验幼儿园，普惠园覆盖率达到95%以上。优化教育资源配置，完成绣源小学新建项目，加快济南山东大学实验学校、钱学森高级中学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章丘四中绣源河校区</w:t>
      </w:r>
      <w:r>
        <w:rPr>
          <w:rFonts w:hint="eastAsia" w:ascii="仿宋_GB2312" w:hAnsi="仿宋_GB2312" w:eastAsia="仿宋_GB2312" w:cs="仿宋_GB2312"/>
          <w:sz w:val="32"/>
          <w:szCs w:val="32"/>
        </w:rPr>
        <w:t>建设。全力服务保障山东大学龙山校区（创新港）、空天信息大学（筹）、山东外事职业大学科教园区等高校建设。</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持续</w:t>
      </w:r>
      <w:r>
        <w:rPr>
          <w:rFonts w:hint="eastAsia" w:ascii="仿宋_GB2312" w:hAnsi="仿宋_GB2312" w:eastAsia="仿宋_GB2312" w:cs="仿宋_GB2312"/>
          <w:b/>
          <w:bCs/>
          <w:sz w:val="32"/>
          <w:szCs w:val="32"/>
        </w:rPr>
        <w:t>推进科技创新。</w:t>
      </w:r>
      <w:r>
        <w:rPr>
          <w:rFonts w:hint="eastAsia" w:ascii="仿宋_GB2312" w:hAnsi="仿宋_GB2312" w:eastAsia="仿宋_GB2312" w:cs="仿宋_GB2312"/>
          <w:sz w:val="32"/>
          <w:szCs w:val="32"/>
        </w:rPr>
        <w:t>强化企业科技创新主体地位，完善高新技术企业梯次培育体系，入库科技型中小企业保持在600家以上，新认定高新技术企业20家以上，新增市级以上研发平台5家，完成50个以上省级技术创新项目认定。力争新培育国家级专精特新“小巨人”企业3家以上，省市级制造业单项冠军企业5家，省市级瞪羚、专精特新企业60家以上。实施知识产权战略，商标注册增长10%以上，高价值专利增长20%以上。开展特色品牌创建活动，新增高端品牌培育企业6家，打造“泉城好品”品牌4个。开展质量提升行动，指导企业参与制定国家、行业、地方标准20项，标准化项目入库企业180家。</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全面</w:t>
      </w:r>
      <w:r>
        <w:rPr>
          <w:rFonts w:hint="eastAsia" w:ascii="仿宋_GB2312" w:hAnsi="仿宋_GB2312" w:eastAsia="仿宋_GB2312" w:cs="仿宋_GB2312"/>
          <w:b/>
          <w:bCs/>
          <w:sz w:val="32"/>
          <w:szCs w:val="32"/>
        </w:rPr>
        <w:t>打造人才高地。</w:t>
      </w:r>
      <w:r>
        <w:rPr>
          <w:rFonts w:hint="eastAsia" w:ascii="仿宋_GB2312" w:hAnsi="仿宋_GB2312" w:eastAsia="仿宋_GB2312" w:cs="仿宋_GB2312"/>
          <w:sz w:val="32"/>
          <w:szCs w:val="32"/>
        </w:rPr>
        <w:t>强化产才融合发展，加强人才工作者队伍建设，年内促成校地校企合作20项以上。深化产业工人队伍建设改革，打造高技能人才队伍。高质量举办市、区两级双创大赛，引进10个以上青年人才创业团队、培育15名市级以上产业人才。擦亮“百脉汇”人才品牌，举办“海右人才节”系列专场活动。</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（六）全力加快城乡融合，持续推进乡村振兴</w:t>
      </w:r>
    </w:p>
    <w:p>
      <w:pPr>
        <w:spacing w:line="600" w:lineRule="exact"/>
        <w:ind w:firstLine="643" w:firstLineChars="200"/>
        <w:rPr>
          <w:rFonts w:ascii="仿宋_GB2312" w:eastAsia="仿宋_GB2312"/>
          <w:sz w:val="32"/>
          <w:szCs w:val="32"/>
        </w:rPr>
      </w:pPr>
      <w:r>
        <w:rPr>
          <w:rFonts w:hint="eastAsia" w:ascii="仿宋_GB2312" w:eastAsia="仿宋_GB2312"/>
          <w:b/>
          <w:bCs/>
          <w:sz w:val="32"/>
          <w:szCs w:val="32"/>
        </w:rPr>
        <w:t>大力发展现代农业。</w:t>
      </w:r>
      <w:r>
        <w:rPr>
          <w:rFonts w:hint="eastAsia" w:ascii="仿宋_GB2312" w:eastAsia="仿宋_GB2312"/>
          <w:sz w:val="32"/>
          <w:szCs w:val="32"/>
        </w:rPr>
        <w:t>扛牢耕地保护和粮食安全政治责任，严守耕地保护红线，坚决遏制耕地“非农化”、防止“非粮化”。新建和改造提升高标准农田5万亩左右，确保粮食产能稳定在161万亩、64万吨以上。实施高官甜瓜设施农业改造提升项目，大力发展“菜篮子”保供园区。推动浩腾生猪、和康源种鸭、花白鲢生态养殖等项目投产达效，实施“一村一业、一村一策”、小楼花市等重点项目，发展珍稀菌菇、中华蜜蜂等新兴产业，加快建设全国名特优新农产品整体推进试点县。以“山水五镇”为依托，推进农文旅融合发展。</w:t>
      </w:r>
    </w:p>
    <w:p>
      <w:pPr>
        <w:spacing w:line="600" w:lineRule="exact"/>
        <w:ind w:firstLine="643" w:firstLineChars="200"/>
        <w:rPr>
          <w:rFonts w:ascii="仿宋_GB2312" w:eastAsia="仿宋_GB2312"/>
          <w:sz w:val="32"/>
          <w:szCs w:val="32"/>
        </w:rPr>
      </w:pPr>
      <w:r>
        <w:rPr>
          <w:rFonts w:hint="eastAsia" w:ascii="仿宋_GB2312" w:eastAsia="仿宋_GB2312"/>
          <w:b/>
          <w:bCs/>
          <w:sz w:val="32"/>
          <w:szCs w:val="32"/>
        </w:rPr>
        <w:t>加快建设和美乡村。</w:t>
      </w:r>
      <w:r>
        <w:rPr>
          <w:rFonts w:hint="eastAsia" w:ascii="仿宋_GB2312" w:eastAsia="仿宋_GB2312"/>
          <w:sz w:val="32"/>
          <w:szCs w:val="32"/>
        </w:rPr>
        <w:t>加快推进乡村建设，巩固省级“诗画文祖”衔接推进区建设成效，打造“明山绣水”市级泉韵乡居示范片区，创建3个省级和美乡村示范村。</w:t>
      </w:r>
      <w:r>
        <w:rPr>
          <w:rFonts w:hint="eastAsia" w:ascii="仿宋_GB2312" w:eastAsia="仿宋_GB2312"/>
          <w:sz w:val="32"/>
          <w:szCs w:val="32"/>
          <w:highlight w:val="none"/>
          <w:lang w:val="en-US" w:eastAsia="zh-CN"/>
        </w:rPr>
        <w:t>学习运用“千万工程”经验，</w:t>
      </w:r>
      <w:r>
        <w:rPr>
          <w:rFonts w:hint="eastAsia" w:ascii="仿宋_GB2312" w:eastAsia="仿宋_GB2312"/>
          <w:sz w:val="32"/>
          <w:szCs w:val="32"/>
          <w:highlight w:val="none"/>
        </w:rPr>
        <w:t>深入开展农村人居环境整治提升行动，实施危房改造30户，</w:t>
      </w:r>
      <w:r>
        <w:rPr>
          <w:rFonts w:hint="eastAsia" w:ascii="仿宋_GB2312" w:eastAsia="仿宋_GB2312"/>
          <w:sz w:val="32"/>
          <w:szCs w:val="32"/>
        </w:rPr>
        <w:t>完善农村改厕、清洁取暖、生活污水等长效管护机制。新建数字乡村100个。深化乡风文明建设。</w:t>
      </w:r>
    </w:p>
    <w:p>
      <w:pPr>
        <w:widowControl/>
        <w:spacing w:line="240" w:lineRule="auto"/>
        <w:ind w:firstLine="0" w:firstLineChars="0"/>
        <w:jc w:val="left"/>
        <w:rPr>
          <w:rFonts w:ascii="仿宋_GB2312" w:eastAsia="仿宋_GB2312"/>
          <w:sz w:val="32"/>
          <w:szCs w:val="32"/>
        </w:rPr>
      </w:pPr>
      <w:r>
        <w:rPr>
          <w:rFonts w:hint="eastAsia" w:ascii="仿宋_GB2312" w:eastAsia="仿宋_GB2312"/>
          <w:b/>
          <w:bCs/>
          <w:sz w:val="32"/>
          <w:szCs w:val="32"/>
          <w:lang w:val="en-US" w:eastAsia="zh-CN"/>
        </w:rPr>
        <w:t>促进城乡融合发展</w:t>
      </w:r>
      <w:r>
        <w:rPr>
          <w:rFonts w:hint="eastAsia" w:ascii="仿宋_GB2312" w:eastAsia="仿宋_GB2312"/>
          <w:b/>
          <w:bCs/>
          <w:sz w:val="32"/>
          <w:szCs w:val="32"/>
        </w:rPr>
        <w:t>。</w:t>
      </w:r>
      <w:r>
        <w:rPr>
          <w:rFonts w:hint="eastAsia" w:ascii="仿宋_GB2312" w:eastAsia="仿宋_GB2312"/>
          <w:sz w:val="32"/>
          <w:szCs w:val="32"/>
        </w:rPr>
        <w:t>加快国家城乡融合发展试验区建设，推动城乡要素平等交换、双向流动。完善城乡供水一体化运营管理机制。巩固“四好农村路”全国示范县创建成效，改造提升农村公路158公里。优化调整公交线路5条。完成枣园、官庄、普集3个小城镇创新提升行动试点建设。常态化推进</w:t>
      </w:r>
      <w:r>
        <w:rPr>
          <w:rFonts w:hint="eastAsia" w:ascii="仿宋_GB2312" w:hAnsi="Calibri" w:eastAsia="仿宋_GB2312" w:cs="宋体"/>
          <w:i w:val="0"/>
          <w:caps w:val="0"/>
          <w:color w:val="auto"/>
          <w:spacing w:val="0"/>
          <w:kern w:val="2"/>
          <w:sz w:val="32"/>
          <w:szCs w:val="32"/>
          <w:highlight w:val="none"/>
          <w:shd w:val="clear" w:fill="auto"/>
          <w:lang w:val="en-US" w:eastAsia="zh-CN" w:bidi="ar"/>
        </w:rPr>
        <w:t>巩固拓展脱贫攻坚成果同乡村振兴有效衔接</w:t>
      </w:r>
      <w:r>
        <w:rPr>
          <w:rFonts w:hint="eastAsia" w:ascii="仿宋_GB2312" w:eastAsia="仿宋_GB2312"/>
          <w:sz w:val="32"/>
          <w:szCs w:val="32"/>
        </w:rPr>
        <w:t>，</w:t>
      </w:r>
      <w:r>
        <w:rPr>
          <w:rFonts w:hint="eastAsia" w:ascii="仿宋_GB2312" w:eastAsia="仿宋_GB2312"/>
          <w:sz w:val="32"/>
          <w:szCs w:val="32"/>
          <w:lang w:val="en-US" w:eastAsia="zh-CN"/>
        </w:rPr>
        <w:t>坚决</w:t>
      </w:r>
      <w:r>
        <w:rPr>
          <w:rFonts w:hint="eastAsia" w:ascii="仿宋_GB2312" w:eastAsia="仿宋_GB2312"/>
          <w:sz w:val="32"/>
          <w:szCs w:val="32"/>
        </w:rPr>
        <w:t>守住不发生规模性返贫致贫的底线。扎实开展东西部协作、与商河县结对共促工作。</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（七）全力抓好城市治理，持续提升功能品质</w:t>
      </w:r>
    </w:p>
    <w:p>
      <w:pPr>
        <w:spacing w:line="600" w:lineRule="exact"/>
        <w:ind w:firstLine="643" w:firstLineChars="200"/>
        <w:rPr>
          <w:rFonts w:ascii="仿宋_GB2312" w:eastAsia="仿宋_GB2312"/>
          <w:sz w:val="32"/>
          <w:szCs w:val="32"/>
        </w:rPr>
      </w:pPr>
      <w:r>
        <w:rPr>
          <w:rFonts w:hint="eastAsia" w:ascii="仿宋_GB2312" w:eastAsia="仿宋_GB2312"/>
          <w:b/>
          <w:bCs/>
          <w:sz w:val="32"/>
          <w:szCs w:val="32"/>
        </w:rPr>
        <w:t>加强统筹规划。</w:t>
      </w:r>
      <w:r>
        <w:rPr>
          <w:rFonts w:hint="eastAsia" w:ascii="仿宋_GB2312" w:eastAsia="仿宋_GB2312"/>
          <w:sz w:val="32"/>
          <w:szCs w:val="32"/>
        </w:rPr>
        <w:t>推进《章丘区国土空间分区规划（2021-2035）》实施，依托齐鲁科创大走廊、济南智能智造走廊，加快融入济南主城。编制城区片区控制性详细规划，优化重点片区空间布局、用地布局、产业布局。完成乡镇级国土空间规划编制，有序开展村庄规划编制。</w:t>
      </w:r>
    </w:p>
    <w:p>
      <w:pPr>
        <w:spacing w:line="600" w:lineRule="exact"/>
        <w:ind w:firstLine="643" w:firstLineChars="200"/>
        <w:rPr>
          <w:rFonts w:ascii="仿宋_GB2312" w:eastAsia="仿宋_GB2312"/>
          <w:sz w:val="32"/>
          <w:szCs w:val="32"/>
        </w:rPr>
      </w:pPr>
      <w:r>
        <w:rPr>
          <w:rFonts w:hint="eastAsia" w:ascii="仿宋_GB2312" w:eastAsia="仿宋_GB2312"/>
          <w:b/>
          <w:bCs/>
          <w:sz w:val="32"/>
          <w:szCs w:val="32"/>
        </w:rPr>
        <w:t>加强基础设施建设。</w:t>
      </w:r>
      <w:r>
        <w:rPr>
          <w:rFonts w:hint="eastAsia" w:ascii="仿宋_GB2312" w:eastAsia="仿宋_GB2312"/>
          <w:sz w:val="32"/>
          <w:szCs w:val="32"/>
        </w:rPr>
        <w:t>持续优化交通网络，配合推进济滨高铁、轨道交通8号线等工程建设，全力保障庆章高速、G308文石线黄河公铁两用桥及连接线工程等项目建设。积极争取国省道大中修项目，统筹实施汇泉路北延等提升工程，改善群众交通出行条件。按期完成绣惠街道城中村改造项目，启动圣井街道城中村改造项目。探索推广第四代高品质住宅建设。统筹推进供热燃气配套、停车场等工程建设，持续提升城市承载力。</w:t>
      </w:r>
    </w:p>
    <w:p>
      <w:pPr>
        <w:spacing w:line="600" w:lineRule="exact"/>
        <w:ind w:firstLine="643" w:firstLineChars="200"/>
        <w:rPr>
          <w:rFonts w:ascii="仿宋_GB2312" w:eastAsia="仿宋_GB2312"/>
          <w:sz w:val="32"/>
          <w:szCs w:val="32"/>
        </w:rPr>
      </w:pPr>
      <w:r>
        <w:rPr>
          <w:rFonts w:hint="eastAsia" w:ascii="仿宋_GB2312" w:eastAsia="仿宋_GB2312"/>
          <w:b/>
          <w:bCs/>
          <w:sz w:val="32"/>
          <w:szCs w:val="32"/>
        </w:rPr>
        <w:t>加强精细管理。</w:t>
      </w:r>
      <w:r>
        <w:rPr>
          <w:rFonts w:hint="eastAsia" w:ascii="仿宋_GB2312" w:eastAsia="仿宋_GB2312"/>
          <w:sz w:val="32"/>
          <w:szCs w:val="32"/>
        </w:rPr>
        <w:t>有序推进城市体检，加强地下综合管廊建设和老旧管线改造升级。深化智慧城市发展，实施市政路灯节能智慧提升二期工程。巩固提升城市精细化管理集中整治成果。加强城市绿地及开放式公园养护管理。优化生活垃圾分类收运体系，有序推进配套设施更新。</w:t>
      </w:r>
    </w:p>
    <w:p>
      <w:pPr>
        <w:spacing w:line="600" w:lineRule="exact"/>
        <w:ind w:firstLine="643" w:firstLineChars="200"/>
        <w:rPr>
          <w:rFonts w:ascii="仿宋_GB2312" w:eastAsia="仿宋_GB2312"/>
          <w:sz w:val="32"/>
          <w:szCs w:val="32"/>
        </w:rPr>
      </w:pPr>
      <w:r>
        <w:rPr>
          <w:rFonts w:hint="eastAsia" w:ascii="仿宋_GB2312" w:eastAsia="仿宋_GB2312"/>
          <w:b/>
          <w:bCs/>
          <w:sz w:val="32"/>
          <w:szCs w:val="32"/>
        </w:rPr>
        <w:t>打造现代文旅名城。</w:t>
      </w:r>
      <w:r>
        <w:rPr>
          <w:rFonts w:hint="eastAsia" w:ascii="仿宋_GB2312" w:eastAsia="仿宋_GB2312"/>
          <w:sz w:val="32"/>
          <w:szCs w:val="32"/>
        </w:rPr>
        <w:t>深入推进文化“两创”，做好城子崖遗址、焦家遗址等发掘保护利用。完成全国第四次文物普查，实施城子崖遗址西城垣保护项目，抓好老县委旧址、大士阁等古建筑保护修缮。</w:t>
      </w:r>
      <w:r>
        <w:rPr>
          <w:rFonts w:hint="eastAsia" w:ascii="仿宋_GB2312" w:eastAsia="仿宋_GB2312"/>
          <w:sz w:val="32"/>
          <w:szCs w:val="32"/>
          <w:lang w:val="en-US" w:eastAsia="zh-CN"/>
        </w:rPr>
        <w:t>加快</w:t>
      </w:r>
      <w:r>
        <w:rPr>
          <w:rFonts w:hint="eastAsia" w:ascii="仿宋_GB2312" w:eastAsia="仿宋_GB2312"/>
          <w:sz w:val="32"/>
          <w:szCs w:val="32"/>
        </w:rPr>
        <w:t>埠村4A级景区综合提升及配套服务设施后续项目</w:t>
      </w:r>
      <w:r>
        <w:rPr>
          <w:rFonts w:hint="eastAsia" w:ascii="仿宋_GB2312" w:eastAsia="仿宋_GB2312"/>
          <w:sz w:val="32"/>
          <w:szCs w:val="32"/>
          <w:lang w:val="en-US" w:eastAsia="zh-CN"/>
        </w:rPr>
        <w:t>建设</w:t>
      </w:r>
      <w:r>
        <w:rPr>
          <w:rFonts w:hint="eastAsia" w:ascii="仿宋_GB2312" w:eastAsia="仿宋_GB2312"/>
          <w:sz w:val="32"/>
          <w:szCs w:val="32"/>
        </w:rPr>
        <w:t>。创新文旅融合场景，丰富明水古城、朱家峪等景区业态，开展乡村好时节、龙山文化旅游季等系列活动。大力实施文化惠民工程，开展群众性文化活动500场次以上，实现“戏曲进乡村”全覆盖。</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（八）全力加强生态保护，持续加快绿色转型</w:t>
      </w:r>
    </w:p>
    <w:p>
      <w:pPr>
        <w:spacing w:line="600" w:lineRule="exact"/>
        <w:ind w:firstLine="643" w:firstLineChars="200"/>
        <w:rPr>
          <w:rFonts w:ascii="仿宋_GB2312" w:eastAsia="仿宋_GB2312"/>
          <w:sz w:val="32"/>
          <w:szCs w:val="32"/>
        </w:rPr>
      </w:pPr>
      <w:r>
        <w:rPr>
          <w:rFonts w:hint="eastAsia" w:ascii="仿宋_GB2312" w:eastAsia="仿宋_GB2312"/>
          <w:b/>
          <w:bCs/>
          <w:sz w:val="32"/>
          <w:szCs w:val="32"/>
        </w:rPr>
        <w:t>科学精准治污。</w:t>
      </w:r>
      <w:r>
        <w:rPr>
          <w:rFonts w:hint="eastAsia" w:ascii="仿宋_GB2312" w:eastAsia="仿宋_GB2312"/>
          <w:sz w:val="32"/>
          <w:szCs w:val="32"/>
        </w:rPr>
        <w:t>打好蓝天保卫战，统筹抓好扬尘管控、臭氧防治、移动源治理等工作，有序推进国三及以下排放标准非营运柴油货车淘汰，力争空气质量优良率66.7%以上。打好碧水保卫战，实施第一、第二污水处理厂提标改造项目，深入开展水污染隐患排查，全力抓好河流断面水质管控工作。打好净土保卫战，加快实施建筑垃圾综合利用、餐厨垃圾生物处理二期等重点项目，持续推动固体废物源头减量和资源化利用，积极打造“无废城市”。</w:t>
      </w:r>
    </w:p>
    <w:p>
      <w:pPr>
        <w:spacing w:line="600" w:lineRule="exact"/>
        <w:ind w:firstLine="643" w:firstLineChars="200"/>
        <w:rPr>
          <w:rFonts w:ascii="仿宋_GB2312" w:eastAsia="仿宋_GB2312"/>
          <w:sz w:val="32"/>
          <w:szCs w:val="32"/>
        </w:rPr>
      </w:pPr>
      <w:r>
        <w:rPr>
          <w:rFonts w:hint="eastAsia" w:ascii="仿宋_GB2312" w:eastAsia="仿宋_GB2312"/>
          <w:b/>
          <w:bCs/>
          <w:sz w:val="32"/>
          <w:szCs w:val="32"/>
        </w:rPr>
        <w:t>加快低碳转型。</w:t>
      </w:r>
      <w:r>
        <w:rPr>
          <w:rFonts w:hint="eastAsia" w:ascii="仿宋_GB2312" w:eastAsia="仿宋_GB2312"/>
          <w:sz w:val="32"/>
          <w:szCs w:val="32"/>
        </w:rPr>
        <w:t>落实碳达峰十大行动，提升工业、建筑、能源等领域降碳减排水平，单位地区生产总值能耗较2020年下降19.5%。加快推进低碳环保产业园、全域光储充检一体化综合能源等重点项目，新认定市级以上绿色制造企业、绿色供应链管理企业8家以上。</w:t>
      </w:r>
    </w:p>
    <w:p>
      <w:pPr>
        <w:spacing w:line="600" w:lineRule="exact"/>
        <w:ind w:firstLine="643" w:firstLineChars="200"/>
        <w:rPr>
          <w:rFonts w:ascii="仿宋_GB2312" w:eastAsia="仿宋_GB2312"/>
          <w:sz w:val="32"/>
          <w:szCs w:val="32"/>
        </w:rPr>
      </w:pPr>
      <w:r>
        <w:rPr>
          <w:rFonts w:hint="eastAsia" w:ascii="仿宋_GB2312" w:eastAsia="仿宋_GB2312"/>
          <w:b/>
          <w:bCs/>
          <w:sz w:val="32"/>
          <w:szCs w:val="32"/>
        </w:rPr>
        <w:t>筑牢生态屏障。</w:t>
      </w:r>
      <w:r>
        <w:rPr>
          <w:rFonts w:hint="eastAsia" w:ascii="仿宋_GB2312" w:eastAsia="仿宋_GB2312"/>
          <w:sz w:val="32"/>
          <w:szCs w:val="32"/>
        </w:rPr>
        <w:t>积极融入黄河绿色生态走廊。做好名泉保护管理，确保泉水持续喷涌。严格落实河湖长制。推进森林增量提质，高质量完成环泰山国土绿化项目。持续做好砂石资源扎口管理运营。完成62处历史遗留矿山生态修复治理。做好迎接第三轮中央生态环境保护督察工作。</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（九）全力发展社会事业，持续增进民生福祉</w:t>
      </w:r>
    </w:p>
    <w:p>
      <w:pPr>
        <w:spacing w:line="600" w:lineRule="exact"/>
        <w:ind w:firstLine="643" w:firstLineChars="200"/>
        <w:rPr>
          <w:rFonts w:ascii="仿宋_GB2312" w:eastAsia="仿宋_GB2312"/>
          <w:sz w:val="32"/>
          <w:szCs w:val="32"/>
        </w:rPr>
      </w:pPr>
      <w:r>
        <w:rPr>
          <w:rFonts w:hint="eastAsia" w:ascii="仿宋_GB2312" w:eastAsia="仿宋_GB2312"/>
          <w:b/>
          <w:bCs/>
          <w:sz w:val="32"/>
          <w:szCs w:val="32"/>
        </w:rPr>
        <w:t>完善社会保障体系。</w:t>
      </w:r>
      <w:r>
        <w:rPr>
          <w:rFonts w:hint="eastAsia" w:ascii="仿宋_GB2312" w:eastAsia="仿宋_GB2312"/>
          <w:sz w:val="32"/>
          <w:szCs w:val="32"/>
        </w:rPr>
        <w:t>坚持就业优先战略，实施城乡公益性岗位扩容提质行动，全年新增城镇就业7600人。深入开展“社区微业”行动计划，着力打造20个社区就业服务站试点。完善三级医保服务体系。实施“全民参保”精准扩面行动，畅通高校毕业生、灵活就业人员、新就业形态人员参保渠道。</w:t>
      </w:r>
    </w:p>
    <w:p>
      <w:pPr>
        <w:spacing w:line="600" w:lineRule="exact"/>
        <w:ind w:firstLine="643" w:firstLineChars="200"/>
        <w:rPr>
          <w:rFonts w:ascii="仿宋_GB2312" w:eastAsia="仿宋_GB2312"/>
          <w:sz w:val="32"/>
          <w:szCs w:val="32"/>
        </w:rPr>
      </w:pPr>
      <w:r>
        <w:rPr>
          <w:rFonts w:hint="eastAsia" w:ascii="仿宋_GB2312" w:eastAsia="仿宋_GB2312"/>
          <w:b/>
          <w:bCs/>
          <w:sz w:val="32"/>
          <w:szCs w:val="32"/>
        </w:rPr>
        <w:t>推进健康章丘建设。</w:t>
      </w:r>
      <w:r>
        <w:rPr>
          <w:rFonts w:hint="eastAsia" w:ascii="仿宋_GB2312" w:eastAsia="仿宋_GB2312"/>
          <w:sz w:val="32"/>
          <w:szCs w:val="32"/>
        </w:rPr>
        <w:t>完成全国基层中医药工作示范县创建。启用区妇幼保健院儿童心理健康楼、口腔医院病房楼，加快区人民医院综合服务楼项目建设。深化医共体建设，提升基层医疗卫生服务能力。建成医养结合机构4处。做好育儿补贴发放，持续增强托育服务供给能力。组织开展马拉松、自行车、篮球等赛事。</w:t>
      </w:r>
    </w:p>
    <w:p>
      <w:pPr>
        <w:spacing w:line="600" w:lineRule="exact"/>
        <w:ind w:firstLine="643" w:firstLineChars="200"/>
        <w:rPr>
          <w:rFonts w:hint="eastAsia" w:ascii="仿宋_GB2312" w:hAnsi="仿宋_GB2312" w:eastAsia="仿宋_GB2312" w:cs="仿宋_GB2312"/>
          <w:sz w:val="32"/>
          <w:szCs w:val="32"/>
        </w:rPr>
      </w:pPr>
      <w:r>
        <w:rPr>
          <w:rFonts w:hint="eastAsia" w:ascii="仿宋_GB2312" w:eastAsia="仿宋_GB2312"/>
          <w:b/>
          <w:bCs/>
          <w:sz w:val="32"/>
          <w:szCs w:val="32"/>
        </w:rPr>
        <w:t>坚决守牢一排底线。</w:t>
      </w:r>
      <w:r>
        <w:rPr>
          <w:rFonts w:hint="eastAsia" w:ascii="仿宋_GB2312" w:hAnsi="仿宋_GB2312" w:eastAsia="仿宋_GB2312" w:cs="仿宋_GB2312"/>
          <w:sz w:val="32"/>
          <w:szCs w:val="32"/>
        </w:rPr>
        <w:t>纵深推进安全生产治本攻坚三年行动，常态化开展“审计式”监督检查服务。加强食品药品和公共卫生安全监管，守护好人民群众“舌尖上的安全”。坚持和发展新时代“枫桥经验”，持续推进信访工作法治化。加强区、街道（镇）“一站式”矛盾调解中心规范化建设。推进“情指行”一体化建设，深化打击治理电信网络诈骗违法犯罪三年行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各位代表！在发展中保障和改善民生是加快建设现代化强区的根本任务。前期，我们多方征集民意，经过审慎研究，筛选出</w:t>
      </w:r>
      <w:r>
        <w:rPr>
          <w:rFonts w:hint="eastAsia" w:ascii="仿宋_GB2312" w:eastAsia="仿宋_GB2312"/>
          <w:sz w:val="32"/>
          <w:szCs w:val="32"/>
          <w:lang w:val="en-US" w:eastAsia="zh-CN"/>
        </w:rPr>
        <w:t>25</w:t>
      </w:r>
      <w:r>
        <w:rPr>
          <w:rFonts w:hint="eastAsia" w:ascii="仿宋_GB2312" w:eastAsia="仿宋_GB2312"/>
          <w:sz w:val="32"/>
          <w:szCs w:val="32"/>
        </w:rPr>
        <w:t>件民生实事候选项目，提交本次会议审议并票决。我们将</w:t>
      </w:r>
      <w:r>
        <w:rPr>
          <w:rFonts w:hint="eastAsia" w:ascii="仿宋_GB2312" w:eastAsia="仿宋_GB2312"/>
          <w:sz w:val="32"/>
          <w:szCs w:val="32"/>
          <w:lang w:val="en-US" w:eastAsia="zh-CN"/>
        </w:rPr>
        <w:t>狠抓工作</w:t>
      </w:r>
      <w:r>
        <w:rPr>
          <w:rFonts w:hint="eastAsia" w:ascii="仿宋_GB2312" w:eastAsia="仿宋_GB2312"/>
          <w:sz w:val="32"/>
          <w:szCs w:val="32"/>
        </w:rPr>
        <w:t>落实，坚决兑现承诺，集中力量抓好办成一批群众可感可及的实事，努力让人民群众得到更多实惠、感到更多温暖。</w:t>
      </w: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三、全面加强政府自身建设</w:t>
      </w:r>
    </w:p>
    <w:p>
      <w:pPr>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加强政治建设，铸牢忠诚品格。</w:t>
      </w:r>
      <w:r>
        <w:rPr>
          <w:rFonts w:hint="eastAsia" w:ascii="仿宋_GB2312" w:hAnsi="仿宋_GB2312" w:eastAsia="仿宋_GB2312" w:cs="仿宋_GB2312"/>
          <w:sz w:val="32"/>
          <w:szCs w:val="32"/>
        </w:rPr>
        <w:t>坚持以习近平新时代中国特色社会主义思想为指导，以实际行动坚定拥护“两个确立”、坚决做到“两个维护”，不断提高政治判断力、政治领悟力、政治执行力，始终在思想上政治上行动上同以习近平同志为核心的党中央保持高度一致。坚持把加强党的领导贯彻到政府工作全过程各领域，不折不扣推动中央大政方针、省市委决策部署和区委工作要求落实落地。</w:t>
      </w:r>
    </w:p>
    <w:p>
      <w:pPr>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坚持依法行政，打造法治政府。</w:t>
      </w:r>
      <w:r>
        <w:rPr>
          <w:rFonts w:hint="eastAsia" w:ascii="仿宋_GB2312" w:hAnsi="仿宋_GB2312" w:eastAsia="仿宋_GB2312" w:cs="仿宋_GB2312"/>
          <w:sz w:val="32"/>
          <w:szCs w:val="32"/>
        </w:rPr>
        <w:t>深入学习贯彻习近平法治思想，全面推进法治政府建设，推动街镇重大合法性审查事项实现区级集中办理。全面建立街镇履职事项清单。大力开展行政执法质量提升行动，全面公开行政检查事项清单，规范提升公正文明执法水平。健全常态化府院联动、府检联动机制。依法接受人大及其常委会监督，自觉接受政协民主监督，主动接受社会监督、舆论监督，高效办理人大代表建议和政协委员提案，全面提升政务公开质效。</w:t>
      </w:r>
    </w:p>
    <w:p>
      <w:pPr>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树牢有解思维，狠抓执行落实。</w:t>
      </w:r>
      <w:r>
        <w:rPr>
          <w:rFonts w:hint="eastAsia" w:ascii="仿宋_GB2312" w:hAnsi="仿宋_GB2312" w:eastAsia="仿宋_GB2312" w:cs="仿宋_GB2312"/>
          <w:sz w:val="32"/>
          <w:szCs w:val="32"/>
        </w:rPr>
        <w:t>贯彻习近平总书记“不折不扣抓落实、雷厉风行抓落实、求真务实抓落实、敢作善为抓落实”的重要要求，锤炼认真做事的可贵能力，把抓落实作为政府工作最重要的职责。健全督查闭环工作机制，强化部门协调联动，大力提升行政效能。推进数字政府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持续为基层减负赋能</w:t>
      </w:r>
      <w:r>
        <w:rPr>
          <w:rFonts w:hint="eastAsia"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牢记根本宗旨，践行勤政为民。</w:t>
      </w:r>
      <w:r>
        <w:rPr>
          <w:rFonts w:hint="eastAsia" w:ascii="仿宋_GB2312" w:hAnsi="仿宋_GB2312" w:eastAsia="仿宋_GB2312" w:cs="仿宋_GB2312"/>
          <w:sz w:val="32"/>
          <w:szCs w:val="32"/>
        </w:rPr>
        <w:t>牢固树立和践行正确政绩观，扎扎实实解决好人民群众最关心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最直接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最现实的利益问题。大力弘扬“四下基层”优良传统，深入开展调查研究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真正把好事办好、实事办实、难事办妥，切实增强广大人民群众的获得感、幸福感、安全感。</w:t>
      </w:r>
    </w:p>
    <w:p>
      <w:pPr>
        <w:spacing w:line="60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严格遵规守纪，做到廉洁奉公。</w:t>
      </w:r>
      <w:r>
        <w:rPr>
          <w:rFonts w:hint="eastAsia" w:ascii="仿宋_GB2312" w:hAnsi="仿宋_GB2312" w:eastAsia="仿宋_GB2312" w:cs="仿宋_GB2312"/>
          <w:sz w:val="32"/>
          <w:szCs w:val="32"/>
        </w:rPr>
        <w:t>发扬彻底的自我革命精神，巩固深化党纪学习教育成果，以“清廉章丘”建设为抓手，纵深推进政府系统全面从严治党。坚决整治群众身边的腐败问题和不正之风。强化预算约束和绩效管理。强化审计监督和统计监督。坚决支持纪检监察机关开展工作，着力营造更加风清气正的政治生态。</w:t>
      </w:r>
    </w:p>
    <w:p>
      <w:pPr>
        <w:spacing w:line="60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各位代表！使命催人奋进，实干成就未来。当前的章丘，发展基础</w:t>
      </w:r>
      <w:r>
        <w:rPr>
          <w:rFonts w:hint="eastAsia" w:ascii="仿宋_GB2312" w:hAnsi="仿宋_GB2312" w:eastAsia="仿宋_GB2312" w:cs="仿宋_GB2312"/>
          <w:sz w:val="32"/>
          <w:szCs w:val="32"/>
          <w:u w:val="none"/>
          <w:lang w:val="en-US" w:eastAsia="zh-CN"/>
        </w:rPr>
        <w:t>更加</w:t>
      </w:r>
      <w:r>
        <w:rPr>
          <w:rFonts w:hint="eastAsia" w:ascii="仿宋_GB2312" w:hAnsi="仿宋_GB2312" w:eastAsia="仿宋_GB2312" w:cs="仿宋_GB2312"/>
          <w:sz w:val="32"/>
          <w:szCs w:val="32"/>
          <w:u w:val="none"/>
        </w:rPr>
        <w:t>坚实，战略机遇</w:t>
      </w:r>
      <w:r>
        <w:rPr>
          <w:rFonts w:hint="eastAsia" w:ascii="仿宋_GB2312" w:hAnsi="仿宋_GB2312" w:eastAsia="仿宋_GB2312" w:cs="仿宋_GB2312"/>
          <w:sz w:val="32"/>
          <w:szCs w:val="32"/>
          <w:u w:val="none"/>
          <w:lang w:val="en-US" w:eastAsia="zh-CN"/>
        </w:rPr>
        <w:t>更多</w:t>
      </w:r>
      <w:r>
        <w:rPr>
          <w:rFonts w:hint="eastAsia" w:ascii="仿宋_GB2312" w:hAnsi="仿宋_GB2312" w:eastAsia="仿宋_GB2312" w:cs="仿宋_GB2312"/>
          <w:sz w:val="32"/>
          <w:szCs w:val="32"/>
          <w:u w:val="none"/>
        </w:rPr>
        <w:t>叠加，未来前景</w:t>
      </w:r>
      <w:r>
        <w:rPr>
          <w:rFonts w:hint="eastAsia" w:ascii="仿宋_GB2312" w:hAnsi="仿宋_GB2312" w:eastAsia="仿宋_GB2312" w:cs="仿宋_GB2312"/>
          <w:sz w:val="32"/>
          <w:szCs w:val="32"/>
          <w:u w:val="none"/>
          <w:lang w:val="en-US" w:eastAsia="zh-CN"/>
        </w:rPr>
        <w:t>更加</w:t>
      </w:r>
      <w:r>
        <w:rPr>
          <w:rFonts w:hint="eastAsia" w:ascii="仿宋_GB2312" w:hAnsi="仿宋_GB2312" w:eastAsia="仿宋_GB2312" w:cs="仿宋_GB2312"/>
          <w:sz w:val="32"/>
          <w:szCs w:val="32"/>
          <w:u w:val="none"/>
        </w:rPr>
        <w:t>广阔</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我们对章丘的明天充满信心</w:t>
      </w:r>
      <w:r>
        <w:rPr>
          <w:rFonts w:hint="eastAsia" w:ascii="仿宋_GB2312" w:hAnsi="仿宋_GB2312" w:eastAsia="仿宋_GB2312" w:cs="仿宋_GB2312"/>
          <w:sz w:val="32"/>
          <w:szCs w:val="32"/>
          <w:u w:val="none"/>
        </w:rPr>
        <w:t>！让我们更加紧密地团结在以习近平同志为核心的党中央周围，坚持以习近平新时代中国特色社会主义思想为指导，在市委、市政府和区委的坚强领导下，始终保持永不懈怠的精神状态和一往无前的奋斗姿态，坚定信心、真抓实干，勇担使命、奋力争先，为加快建设新时代社会主义现代化强区而努力奋斗！</w:t>
      </w:r>
    </w:p>
    <w:p>
      <w:pPr>
        <w:spacing w:line="600" w:lineRule="exact"/>
        <w:ind w:firstLine="640" w:firstLineChars="200"/>
        <w:rPr>
          <w:rFonts w:hint="eastAsia" w:ascii="仿宋_GB2312" w:hAnsi="仿宋_GB2312" w:eastAsia="仿宋_GB2312" w:cs="仿宋_GB2312"/>
          <w:sz w:val="32"/>
          <w:szCs w:val="32"/>
          <w:u w:val="none"/>
        </w:rPr>
      </w:pPr>
    </w:p>
    <w:p>
      <w:pPr>
        <w:spacing w:line="600" w:lineRule="exact"/>
        <w:ind w:firstLine="640" w:firstLineChars="200"/>
        <w:rPr>
          <w:rFonts w:hint="eastAsia" w:ascii="仿宋_GB2312" w:hAnsi="仿宋_GB2312" w:eastAsia="仿宋_GB2312" w:cs="仿宋_GB2312"/>
          <w:sz w:val="32"/>
          <w:szCs w:val="32"/>
          <w:u w:val="none"/>
        </w:rPr>
      </w:pPr>
    </w:p>
    <w:p>
      <w:pPr>
        <w:spacing w:line="600" w:lineRule="exact"/>
        <w:ind w:firstLine="640" w:firstLineChars="200"/>
        <w:rPr>
          <w:rFonts w:hint="eastAsia" w:ascii="仿宋_GB2312" w:hAnsi="仿宋_GB2312" w:eastAsia="仿宋_GB2312" w:cs="仿宋_GB2312"/>
          <w:sz w:val="32"/>
          <w:szCs w:val="32"/>
          <w:u w:val="none"/>
        </w:rPr>
      </w:pPr>
    </w:p>
    <w:p>
      <w:pPr>
        <w:spacing w:line="600" w:lineRule="exact"/>
        <w:ind w:firstLine="640" w:firstLineChars="200"/>
        <w:rPr>
          <w:rFonts w:hint="eastAsia" w:ascii="仿宋_GB2312" w:hAnsi="仿宋_GB2312" w:eastAsia="仿宋_GB2312" w:cs="仿宋_GB2312"/>
          <w:sz w:val="32"/>
          <w:szCs w:val="32"/>
          <w:u w:val="none"/>
        </w:rPr>
      </w:pPr>
    </w:p>
    <w:p>
      <w:pPr>
        <w:spacing w:line="600" w:lineRule="exact"/>
        <w:ind w:firstLine="640" w:firstLineChars="200"/>
        <w:rPr>
          <w:rFonts w:hint="eastAsia" w:ascii="仿宋_GB2312" w:hAnsi="仿宋_GB2312" w:eastAsia="仿宋_GB2312" w:cs="仿宋_GB2312"/>
          <w:sz w:val="32"/>
          <w:szCs w:val="32"/>
          <w:u w:val="none"/>
        </w:rPr>
      </w:pPr>
    </w:p>
    <w:p>
      <w:pPr>
        <w:spacing w:line="600" w:lineRule="exact"/>
        <w:ind w:firstLine="640" w:firstLineChars="200"/>
        <w:rPr>
          <w:rFonts w:hint="eastAsia" w:ascii="仿宋_GB2312" w:hAnsi="仿宋_GB2312" w:eastAsia="仿宋_GB2312" w:cs="仿宋_GB2312"/>
          <w:sz w:val="32"/>
          <w:szCs w:val="32"/>
          <w:u w:val="none"/>
        </w:rPr>
      </w:pPr>
    </w:p>
    <w:p>
      <w:pPr>
        <w:spacing w:line="600" w:lineRule="exact"/>
        <w:ind w:firstLine="640" w:firstLineChars="200"/>
        <w:rPr>
          <w:rFonts w:hint="eastAsia" w:ascii="仿宋_GB2312" w:hAnsi="仿宋_GB2312" w:eastAsia="仿宋_GB2312" w:cs="仿宋_GB2312"/>
          <w:sz w:val="32"/>
          <w:szCs w:val="32"/>
          <w:u w:val="none"/>
        </w:rPr>
      </w:pPr>
    </w:p>
    <w:p>
      <w:pPr>
        <w:spacing w:line="600" w:lineRule="exact"/>
        <w:ind w:firstLine="640" w:firstLineChars="200"/>
        <w:rPr>
          <w:rFonts w:hint="eastAsia" w:ascii="仿宋_GB2312" w:hAnsi="仿宋_GB2312" w:eastAsia="仿宋_GB2312" w:cs="仿宋_GB2312"/>
          <w:sz w:val="32"/>
          <w:szCs w:val="32"/>
          <w:u w:val="none"/>
        </w:rPr>
      </w:pPr>
    </w:p>
    <w:p>
      <w:pPr>
        <w:spacing w:line="600" w:lineRule="exact"/>
        <w:ind w:firstLine="0" w:firstLineChars="0"/>
        <w:jc w:val="center"/>
        <w:rPr>
          <w:rFonts w:hint="eastAsia" w:ascii="文星标宋" w:hAnsi="文星标宋" w:eastAsia="文星标宋" w:cs="文星标宋"/>
          <w:sz w:val="44"/>
          <w:szCs w:val="44"/>
          <w:u w:val="none"/>
        </w:rPr>
      </w:pPr>
    </w:p>
    <w:p>
      <w:pPr>
        <w:spacing w:line="600" w:lineRule="exact"/>
        <w:ind w:firstLine="0" w:firstLineChars="0"/>
        <w:jc w:val="center"/>
        <w:rPr>
          <w:rFonts w:hint="eastAsia" w:ascii="文星标宋" w:hAnsi="文星标宋" w:eastAsia="文星标宋" w:cs="文星标宋"/>
          <w:sz w:val="44"/>
          <w:szCs w:val="44"/>
          <w:u w:val="none"/>
        </w:rPr>
      </w:pPr>
      <w:r>
        <w:rPr>
          <w:rFonts w:hint="eastAsia" w:ascii="文星标宋" w:hAnsi="文星标宋" w:eastAsia="文星标宋" w:cs="文星标宋"/>
          <w:sz w:val="44"/>
          <w:szCs w:val="44"/>
          <w:u w:val="none"/>
        </w:rPr>
        <w:t>名词解释</w:t>
      </w:r>
    </w:p>
    <w:p>
      <w:pPr>
        <w:spacing w:line="600" w:lineRule="exact"/>
        <w:ind w:firstLine="640" w:firstLineChars="200"/>
        <w:rPr>
          <w:rFonts w:hint="eastAsia" w:ascii="仿宋_GB2312" w:hAnsi="仿宋_GB2312" w:eastAsia="仿宋_GB2312" w:cs="仿宋_GB2312"/>
          <w:sz w:val="32"/>
          <w:szCs w:val="32"/>
          <w:u w:val="none"/>
        </w:rPr>
      </w:pPr>
    </w:p>
    <w:p>
      <w:pPr>
        <w:spacing w:line="600" w:lineRule="exact"/>
        <w:ind w:firstLine="640" w:firstLineChars="200"/>
        <w:rPr>
          <w:rFonts w:hint="eastAsia" w:ascii="仿宋_GB2312" w:hAnsi="仿宋_GB2312" w:eastAsia="仿宋_GB2312" w:cs="仿宋_GB2312"/>
          <w:sz w:val="32"/>
          <w:szCs w:val="32"/>
          <w:u w:val="none"/>
        </w:rPr>
      </w:pPr>
      <w:r>
        <w:rPr>
          <w:rFonts w:hint="eastAsia" w:ascii="黑体" w:hAnsi="黑体" w:eastAsia="黑体" w:cs="黑体"/>
          <w:sz w:val="32"/>
          <w:szCs w:val="32"/>
          <w:u w:val="none"/>
        </w:rPr>
        <w:t>1.制造业单项冠军企业：</w:t>
      </w:r>
      <w:r>
        <w:rPr>
          <w:rFonts w:hint="eastAsia" w:ascii="仿宋_GB2312" w:hAnsi="仿宋_GB2312" w:eastAsia="仿宋_GB2312" w:cs="仿宋_GB2312"/>
          <w:sz w:val="32"/>
          <w:szCs w:val="32"/>
          <w:u w:val="none"/>
        </w:rPr>
        <w:t>指长期专注于制造业某些细分产品市场，生产技术或工艺国际领先，单项产品市场占有率位居全球或国内前列的企业。</w:t>
      </w:r>
    </w:p>
    <w:p>
      <w:pPr>
        <w:spacing w:line="600" w:lineRule="exact"/>
        <w:ind w:firstLine="640" w:firstLineChars="200"/>
        <w:rPr>
          <w:rFonts w:hint="eastAsia" w:ascii="仿宋_GB2312" w:hAnsi="仿宋_GB2312" w:eastAsia="仿宋_GB2312" w:cs="仿宋_GB2312"/>
          <w:sz w:val="32"/>
          <w:szCs w:val="32"/>
          <w:u w:val="none"/>
        </w:rPr>
      </w:pPr>
      <w:r>
        <w:rPr>
          <w:rFonts w:hint="eastAsia" w:ascii="黑体" w:hAnsi="黑体" w:eastAsia="黑体" w:cs="黑体"/>
          <w:sz w:val="32"/>
          <w:szCs w:val="32"/>
          <w:u w:val="none"/>
        </w:rPr>
        <w:t>2.专精特新：</w:t>
      </w:r>
      <w:r>
        <w:rPr>
          <w:rFonts w:hint="eastAsia" w:ascii="仿宋_GB2312" w:hAnsi="仿宋_GB2312" w:eastAsia="仿宋_GB2312" w:cs="仿宋_GB2312"/>
          <w:sz w:val="32"/>
          <w:szCs w:val="32"/>
          <w:u w:val="none"/>
        </w:rPr>
        <w:t>主营业务突出、专业能力强、研发创新能力强、具有发展潜力的中小企业，主要集中在新一代信息技术、高端装备制造、新能源、新材料、生物医药等中高端产业。</w:t>
      </w:r>
    </w:p>
    <w:p>
      <w:pPr>
        <w:spacing w:line="600" w:lineRule="exact"/>
        <w:ind w:firstLine="640" w:firstLineChars="200"/>
        <w:rPr>
          <w:rFonts w:hint="eastAsia" w:ascii="仿宋_GB2312" w:hAnsi="仿宋_GB2312" w:eastAsia="仿宋_GB2312" w:cs="仿宋_GB2312"/>
          <w:sz w:val="32"/>
          <w:szCs w:val="32"/>
          <w:u w:val="none"/>
        </w:rPr>
      </w:pPr>
      <w:r>
        <w:rPr>
          <w:rFonts w:hint="eastAsia" w:ascii="黑体" w:hAnsi="黑体" w:eastAsia="黑体" w:cs="黑体"/>
          <w:sz w:val="32"/>
          <w:szCs w:val="32"/>
          <w:u w:val="none"/>
        </w:rPr>
        <w:t>3.瞪羚企业：</w:t>
      </w:r>
      <w:r>
        <w:rPr>
          <w:rFonts w:hint="eastAsia" w:ascii="仿宋_GB2312" w:hAnsi="仿宋_GB2312" w:eastAsia="仿宋_GB2312" w:cs="仿宋_GB2312"/>
          <w:sz w:val="32"/>
          <w:szCs w:val="32"/>
          <w:u w:val="none"/>
        </w:rPr>
        <w:t>指以科技创新或商业模式创新为支撑、进入高成长期的中小企业。这类企业像瞪羚一样，成长性好，具有跳跃发展态势。</w:t>
      </w:r>
    </w:p>
    <w:p>
      <w:pPr>
        <w:spacing w:line="600" w:lineRule="exact"/>
        <w:ind w:firstLine="640" w:firstLineChars="200"/>
        <w:rPr>
          <w:rFonts w:hint="eastAsia" w:ascii="仿宋_GB2312" w:hAnsi="仿宋_GB2312" w:eastAsia="仿宋_GB2312" w:cs="仿宋_GB2312"/>
          <w:sz w:val="32"/>
          <w:szCs w:val="32"/>
          <w:u w:val="none"/>
        </w:rPr>
      </w:pPr>
      <w:r>
        <w:rPr>
          <w:rFonts w:hint="eastAsia" w:ascii="黑体" w:hAnsi="黑体" w:eastAsia="黑体" w:cs="黑体"/>
          <w:sz w:val="32"/>
          <w:szCs w:val="32"/>
          <w:u w:val="none"/>
        </w:rPr>
        <w:t>4.“晨星工厂”：</w:t>
      </w:r>
      <w:r>
        <w:rPr>
          <w:rFonts w:hint="eastAsia" w:ascii="仿宋_GB2312" w:hAnsi="仿宋_GB2312" w:eastAsia="仿宋_GB2312" w:cs="仿宋_GB2312"/>
          <w:sz w:val="32"/>
          <w:szCs w:val="32"/>
          <w:u w:val="none"/>
        </w:rPr>
        <w:t>指创新能力突出、典型示范性强、应用成效明显、经济效益显著的数字驱动型数字经济企业。</w:t>
      </w:r>
    </w:p>
    <w:p>
      <w:pPr>
        <w:spacing w:line="600" w:lineRule="exact"/>
        <w:ind w:firstLine="640" w:firstLineChars="200"/>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rPr>
        <w:t>5.</w:t>
      </w:r>
      <w:r>
        <w:rPr>
          <w:rFonts w:hint="eastAsia" w:ascii="黑体" w:hAnsi="黑体" w:eastAsia="黑体" w:cs="黑体"/>
          <w:sz w:val="32"/>
          <w:szCs w:val="32"/>
          <w:u w:val="none"/>
          <w:lang w:val="en-US" w:eastAsia="zh-CN"/>
        </w:rPr>
        <w:t>实数融合：</w:t>
      </w:r>
      <w:r>
        <w:rPr>
          <w:rFonts w:hint="eastAsia" w:ascii="仿宋_GB2312" w:hAnsi="仿宋_GB2312" w:eastAsia="仿宋_GB2312" w:cs="仿宋_GB2312"/>
          <w:sz w:val="32"/>
          <w:szCs w:val="32"/>
          <w:u w:val="none"/>
          <w:lang w:val="en-US" w:eastAsia="zh-CN"/>
        </w:rPr>
        <w:t>就是实体经济与数字经济的互动融合，融汇了实体与数字、传统与创新的多重内涵。党的二十大报告强调“加快发展数字经济，促进数字经济和实体经济深度融合，打造具有国际竞争力的数字产业集群。”党的二十届三中全会《决议》又提出“健全促进实体经济和数字经济深度融合制度”等重要任务并作出周密部署，其目的是把数字经济融入和应用到实体经济全过程，在更深层次赋能实体经济发展，摆脱传统发展路径，催生新质生产力。</w:t>
      </w:r>
    </w:p>
    <w:p>
      <w:pPr>
        <w:spacing w:line="600" w:lineRule="exact"/>
        <w:ind w:firstLine="640" w:firstLineChars="200"/>
        <w:rPr>
          <w:rFonts w:hint="eastAsia" w:ascii="仿宋_GB2312" w:hAnsi="仿宋_GB2312" w:eastAsia="仿宋_GB2312" w:cs="仿宋_GB2312"/>
          <w:sz w:val="32"/>
          <w:szCs w:val="32"/>
          <w:u w:val="none"/>
        </w:rPr>
      </w:pPr>
      <w:r>
        <w:rPr>
          <w:rFonts w:hint="eastAsia" w:ascii="黑体" w:hAnsi="黑体" w:eastAsia="黑体" w:cs="黑体"/>
          <w:sz w:val="32"/>
          <w:szCs w:val="32"/>
          <w:u w:val="none"/>
          <w:lang w:val="en-US" w:eastAsia="zh-CN"/>
        </w:rPr>
        <w:t>6.</w:t>
      </w:r>
      <w:r>
        <w:rPr>
          <w:rFonts w:hint="eastAsia" w:ascii="黑体" w:hAnsi="黑体" w:eastAsia="黑体" w:cs="黑体"/>
          <w:sz w:val="32"/>
          <w:szCs w:val="32"/>
          <w:u w:val="none"/>
        </w:rPr>
        <w:t>DCMM贯标企业：</w:t>
      </w:r>
      <w:r>
        <w:rPr>
          <w:rFonts w:hint="eastAsia" w:ascii="仿宋_GB2312" w:hAnsi="仿宋_GB2312" w:eastAsia="仿宋_GB2312" w:cs="仿宋_GB2312"/>
          <w:sz w:val="32"/>
          <w:szCs w:val="32"/>
          <w:u w:val="none"/>
        </w:rPr>
        <w:t>指数据管理能力成熟度评估模型标准认证，分为二级、三级、四级，</w:t>
      </w:r>
      <w:r>
        <w:rPr>
          <w:rFonts w:hint="eastAsia" w:ascii="仿宋_GB2312" w:hAnsi="仿宋_GB2312" w:eastAsia="仿宋_GB2312" w:cs="仿宋_GB2312"/>
          <w:sz w:val="32"/>
          <w:szCs w:val="32"/>
          <w:u w:val="none"/>
          <w:lang w:val="en-US" w:eastAsia="zh-CN"/>
        </w:rPr>
        <w:t>分别最高</w:t>
      </w:r>
      <w:r>
        <w:rPr>
          <w:rFonts w:hint="eastAsia" w:ascii="仿宋_GB2312" w:hAnsi="仿宋_GB2312" w:eastAsia="仿宋_GB2312" w:cs="仿宋_GB2312"/>
          <w:sz w:val="32"/>
          <w:szCs w:val="32"/>
          <w:u w:val="none"/>
        </w:rPr>
        <w:t>奖补20万元、30万元、50万元，认证机构为中国电子信息行业联合会。</w:t>
      </w:r>
    </w:p>
    <w:p>
      <w:pPr>
        <w:spacing w:line="600" w:lineRule="exact"/>
        <w:ind w:firstLine="640" w:firstLineChars="200"/>
        <w:rPr>
          <w:rFonts w:hint="eastAsia" w:ascii="仿宋_GB2312" w:hAnsi="仿宋_GB2312" w:eastAsia="仿宋_GB2312" w:cs="仿宋_GB2312"/>
          <w:sz w:val="32"/>
          <w:szCs w:val="32"/>
          <w:u w:val="none"/>
        </w:rPr>
      </w:pPr>
      <w:r>
        <w:rPr>
          <w:rFonts w:hint="eastAsia" w:ascii="黑体" w:hAnsi="黑体" w:eastAsia="黑体" w:cs="黑体"/>
          <w:sz w:val="32"/>
          <w:szCs w:val="32"/>
          <w:u w:val="none"/>
          <w:lang w:val="en-US" w:eastAsia="zh-CN"/>
        </w:rPr>
        <w:t>7</w:t>
      </w:r>
      <w:r>
        <w:rPr>
          <w:rFonts w:hint="eastAsia" w:ascii="黑体" w:hAnsi="黑体" w:eastAsia="黑体" w:cs="黑体"/>
          <w:sz w:val="32"/>
          <w:szCs w:val="32"/>
          <w:u w:val="none"/>
        </w:rPr>
        <w:t>.能源“双控”：</w:t>
      </w:r>
      <w:r>
        <w:rPr>
          <w:rFonts w:hint="eastAsia" w:ascii="仿宋_GB2312" w:hAnsi="仿宋_GB2312" w:eastAsia="仿宋_GB2312" w:cs="仿宋_GB2312"/>
          <w:sz w:val="32"/>
          <w:szCs w:val="32"/>
          <w:u w:val="none"/>
        </w:rPr>
        <w:t>指对能源消费总量和能源消费强度进行控制‌。</w:t>
      </w:r>
    </w:p>
    <w:p>
      <w:pPr>
        <w:spacing w:line="600" w:lineRule="exact"/>
        <w:ind w:firstLine="640" w:firstLineChars="200"/>
        <w:rPr>
          <w:rFonts w:hint="eastAsia" w:ascii="仿宋_GB2312" w:hAnsi="仿宋_GB2312" w:eastAsia="仿宋_GB2312" w:cs="仿宋_GB2312"/>
          <w:sz w:val="32"/>
          <w:szCs w:val="32"/>
          <w:u w:val="none"/>
        </w:rPr>
      </w:pPr>
      <w:r>
        <w:rPr>
          <w:rFonts w:hint="eastAsia" w:ascii="黑体" w:hAnsi="黑体" w:eastAsia="黑体" w:cs="黑体"/>
          <w:sz w:val="32"/>
          <w:szCs w:val="32"/>
          <w:u w:val="none"/>
          <w:lang w:val="en-US" w:eastAsia="zh-CN"/>
        </w:rPr>
        <w:t>8</w:t>
      </w:r>
      <w:r>
        <w:rPr>
          <w:rFonts w:hint="eastAsia" w:ascii="黑体" w:hAnsi="黑体" w:eastAsia="黑体" w:cs="黑体"/>
          <w:sz w:val="32"/>
          <w:szCs w:val="32"/>
          <w:u w:val="none"/>
        </w:rPr>
        <w:t>.安全生产“审计式”监督检查：</w:t>
      </w:r>
      <w:r>
        <w:rPr>
          <w:rFonts w:hint="eastAsia" w:ascii="仿宋_GB2312" w:hAnsi="仿宋_GB2312" w:eastAsia="仿宋_GB2312" w:cs="仿宋_GB2312"/>
          <w:sz w:val="32"/>
          <w:szCs w:val="32"/>
          <w:u w:val="none"/>
        </w:rPr>
        <w:t>是从行业主管部门、重点企业抽调部分监管执法力量、安全生产专家组成专业化“派驻”督查组，结合行业安全标准和安全生产规律特点，从安全生产规划、安全生产责任、安全规章制度、安全教育培训、隐患排查治理、安全生产投入、企业现场管理、应急预案管理等方面，通过“审计式”的“把脉会诊”，帮助企业查改隐患、补齐短板、建章立制、改进提升，从而达到规范安全生产秩序，提升本质安全生产水平的目的。</w:t>
      </w:r>
    </w:p>
    <w:p>
      <w:pPr>
        <w:spacing w:line="600" w:lineRule="exact"/>
        <w:ind w:firstLine="640" w:firstLineChars="200"/>
        <w:rPr>
          <w:rFonts w:hint="eastAsia" w:ascii="仿宋_GB2312" w:hAnsi="仿宋_GB2312" w:eastAsia="仿宋_GB2312" w:cs="仿宋_GB2312"/>
          <w:sz w:val="32"/>
          <w:szCs w:val="32"/>
          <w:u w:val="none"/>
        </w:rPr>
      </w:pPr>
      <w:r>
        <w:rPr>
          <w:rFonts w:hint="eastAsia" w:ascii="黑体" w:hAnsi="黑体" w:eastAsia="黑体" w:cs="黑体"/>
          <w:sz w:val="32"/>
          <w:szCs w:val="32"/>
          <w:u w:val="none"/>
          <w:lang w:val="en-US" w:eastAsia="zh-CN"/>
        </w:rPr>
        <w:t>9</w:t>
      </w:r>
      <w:r>
        <w:rPr>
          <w:rFonts w:hint="eastAsia" w:ascii="黑体" w:hAnsi="黑体" w:eastAsia="黑体" w:cs="黑体"/>
          <w:sz w:val="32"/>
          <w:szCs w:val="32"/>
          <w:u w:val="none"/>
        </w:rPr>
        <w:t>.“多网融合、一网协同”数字化基层治理：</w:t>
      </w:r>
      <w:r>
        <w:rPr>
          <w:rFonts w:hint="eastAsia" w:ascii="仿宋_GB2312" w:hAnsi="仿宋_GB2312" w:eastAsia="仿宋_GB2312" w:cs="仿宋_GB2312"/>
          <w:sz w:val="32"/>
          <w:szCs w:val="32"/>
          <w:u w:val="none"/>
        </w:rPr>
        <w:t>依托覆盖全区的基层网格化管理平台系统，利用数字化、信息化技术，通过基层治理各类数据的汇集、分析、筛选、应用，为基层政府履责、职能部门履职提供数字化服务，全面推动基层社会治理提速提效提质。</w:t>
      </w:r>
    </w:p>
    <w:p>
      <w:pPr>
        <w:spacing w:line="600" w:lineRule="exact"/>
        <w:ind w:firstLine="640" w:firstLineChars="200"/>
        <w:rPr>
          <w:rFonts w:hint="eastAsia" w:ascii="仿宋_GB2312" w:hAnsi="仿宋_GB2312" w:eastAsia="仿宋_GB2312" w:cs="仿宋_GB2312"/>
          <w:sz w:val="32"/>
          <w:szCs w:val="32"/>
          <w:u w:val="none"/>
        </w:rPr>
      </w:pPr>
      <w:r>
        <w:rPr>
          <w:rFonts w:hint="eastAsia" w:ascii="黑体" w:hAnsi="黑体" w:eastAsia="黑体" w:cs="黑体"/>
          <w:sz w:val="32"/>
          <w:szCs w:val="32"/>
          <w:u w:val="none"/>
        </w:rPr>
        <w:t>1</w:t>
      </w:r>
      <w:r>
        <w:rPr>
          <w:rFonts w:hint="eastAsia" w:ascii="黑体" w:hAnsi="黑体" w:eastAsia="黑体" w:cs="黑体"/>
          <w:sz w:val="32"/>
          <w:szCs w:val="32"/>
          <w:u w:val="none"/>
          <w:lang w:val="en-US" w:eastAsia="zh-CN"/>
        </w:rPr>
        <w:t>0</w:t>
      </w:r>
      <w:r>
        <w:rPr>
          <w:rFonts w:hint="eastAsia" w:ascii="黑体" w:hAnsi="黑体" w:eastAsia="黑体" w:cs="黑体"/>
          <w:sz w:val="32"/>
          <w:szCs w:val="32"/>
          <w:u w:val="none"/>
        </w:rPr>
        <w:t>.一揽子增量政策：</w:t>
      </w:r>
      <w:r>
        <w:rPr>
          <w:rFonts w:hint="eastAsia" w:ascii="仿宋_GB2312" w:hAnsi="仿宋_GB2312" w:eastAsia="仿宋_GB2312" w:cs="仿宋_GB2312"/>
          <w:sz w:val="32"/>
          <w:szCs w:val="32"/>
          <w:u w:val="none"/>
        </w:rPr>
        <w:t>主要包括五方面内容，即加力提效实施宏观政策；进一步扩大内需；加大助企帮扶力度；促进房地产市场止跌回稳；努力提振资本市场。</w:t>
      </w:r>
    </w:p>
    <w:p>
      <w:pPr>
        <w:spacing w:line="600" w:lineRule="exact"/>
        <w:ind w:firstLine="640" w:firstLineChars="200"/>
        <w:rPr>
          <w:rFonts w:hint="eastAsia" w:ascii="仿宋_GB2312" w:hAnsi="仿宋_GB2312" w:eastAsia="仿宋_GB2312" w:cs="仿宋_GB2312"/>
          <w:sz w:val="32"/>
          <w:szCs w:val="32"/>
          <w:u w:val="none"/>
        </w:rPr>
      </w:pPr>
      <w:r>
        <w:rPr>
          <w:rFonts w:hint="eastAsia" w:ascii="黑体" w:hAnsi="黑体" w:eastAsia="黑体" w:cs="黑体"/>
          <w:sz w:val="32"/>
          <w:szCs w:val="32"/>
          <w:u w:val="none"/>
        </w:rPr>
        <w:t>1</w:t>
      </w:r>
      <w:r>
        <w:rPr>
          <w:rFonts w:hint="eastAsia" w:ascii="黑体" w:hAnsi="黑体" w:eastAsia="黑体" w:cs="黑体"/>
          <w:sz w:val="32"/>
          <w:szCs w:val="32"/>
          <w:u w:val="none"/>
          <w:lang w:val="en-US" w:eastAsia="zh-CN"/>
        </w:rPr>
        <w:t>1</w:t>
      </w:r>
      <w:r>
        <w:rPr>
          <w:rFonts w:hint="eastAsia" w:ascii="黑体" w:hAnsi="黑体" w:eastAsia="黑体" w:cs="黑体"/>
          <w:sz w:val="32"/>
          <w:szCs w:val="32"/>
          <w:u w:val="none"/>
        </w:rPr>
        <w:t>.“两重”“两新”“三大工程”：</w:t>
      </w:r>
      <w:r>
        <w:rPr>
          <w:rFonts w:hint="eastAsia" w:ascii="仿宋_GB2312" w:hAnsi="仿宋_GB2312" w:eastAsia="仿宋_GB2312" w:cs="仿宋_GB2312"/>
          <w:sz w:val="32"/>
          <w:szCs w:val="32"/>
          <w:u w:val="none"/>
        </w:rPr>
        <w:t>“两重”，即国家重大战略实施和重点领域安全能力建设；“两新”，即大规模设备更新和消费品以旧换新；“三大工程”，即保障性住房建设、城中村改造、“平急两用”公共基础设施建设。</w:t>
      </w:r>
    </w:p>
    <w:p>
      <w:pPr>
        <w:spacing w:line="600" w:lineRule="exact"/>
        <w:ind w:firstLine="640" w:firstLineChars="200"/>
        <w:rPr>
          <w:rFonts w:hint="eastAsia" w:ascii="仿宋_GB2312" w:hAnsi="仿宋_GB2312" w:eastAsia="仿宋_GB2312" w:cs="仿宋_GB2312"/>
          <w:sz w:val="32"/>
          <w:szCs w:val="32"/>
          <w:u w:val="none"/>
        </w:rPr>
      </w:pPr>
      <w:r>
        <w:rPr>
          <w:rFonts w:hint="eastAsia" w:ascii="黑体" w:hAnsi="黑体" w:eastAsia="黑体" w:cs="黑体"/>
          <w:sz w:val="32"/>
          <w:szCs w:val="32"/>
          <w:u w:val="none"/>
        </w:rPr>
        <w:t>1</w:t>
      </w:r>
      <w:r>
        <w:rPr>
          <w:rFonts w:hint="eastAsia" w:ascii="黑体" w:hAnsi="黑体" w:eastAsia="黑体" w:cs="黑体"/>
          <w:sz w:val="32"/>
          <w:szCs w:val="32"/>
          <w:u w:val="none"/>
          <w:lang w:val="en-US" w:eastAsia="zh-CN"/>
        </w:rPr>
        <w:t>2</w:t>
      </w:r>
      <w:r>
        <w:rPr>
          <w:rFonts w:hint="eastAsia" w:ascii="黑体" w:hAnsi="黑体" w:eastAsia="黑体" w:cs="黑体"/>
          <w:sz w:val="32"/>
          <w:szCs w:val="32"/>
          <w:u w:val="none"/>
        </w:rPr>
        <w:t>.“五个一”项目管理机制：</w:t>
      </w:r>
      <w:r>
        <w:rPr>
          <w:rFonts w:hint="eastAsia" w:ascii="仿宋_GB2312" w:hAnsi="仿宋_GB2312" w:eastAsia="仿宋_GB2312" w:cs="仿宋_GB2312"/>
          <w:sz w:val="32"/>
          <w:szCs w:val="32"/>
          <w:u w:val="none"/>
        </w:rPr>
        <w:t>即一个项目、一名领导、一套班子、一套方案、一抓到底，直到项目投产达效。</w:t>
      </w:r>
    </w:p>
    <w:p>
      <w:pPr>
        <w:spacing w:line="600" w:lineRule="exact"/>
        <w:ind w:firstLine="640" w:firstLineChars="200"/>
        <w:rPr>
          <w:rFonts w:hint="eastAsia" w:ascii="仿宋_GB2312" w:hAnsi="仿宋_GB2312" w:eastAsia="仿宋_GB2312" w:cs="仿宋_GB2312"/>
          <w:sz w:val="32"/>
          <w:szCs w:val="32"/>
          <w:u w:val="none"/>
        </w:rPr>
      </w:pPr>
      <w:r>
        <w:rPr>
          <w:rFonts w:hint="eastAsia" w:ascii="黑体" w:hAnsi="黑体" w:eastAsia="黑体" w:cs="黑体"/>
          <w:sz w:val="32"/>
          <w:szCs w:val="32"/>
          <w:u w:val="none"/>
        </w:rPr>
        <w:t>1</w:t>
      </w:r>
      <w:r>
        <w:rPr>
          <w:rFonts w:hint="eastAsia" w:ascii="黑体" w:hAnsi="黑体" w:eastAsia="黑体" w:cs="黑体"/>
          <w:sz w:val="32"/>
          <w:szCs w:val="32"/>
          <w:u w:val="none"/>
          <w:lang w:val="en-US" w:eastAsia="zh-CN"/>
        </w:rPr>
        <w:t>3</w:t>
      </w:r>
      <w:r>
        <w:rPr>
          <w:rFonts w:hint="eastAsia" w:ascii="黑体" w:hAnsi="黑体" w:eastAsia="黑体" w:cs="黑体"/>
          <w:sz w:val="32"/>
          <w:szCs w:val="32"/>
          <w:u w:val="none"/>
        </w:rPr>
        <w:t>.新质生产力：</w:t>
      </w:r>
      <w:r>
        <w:rPr>
          <w:rFonts w:hint="eastAsia" w:ascii="仿宋_GB2312" w:hAnsi="仿宋_GB2312" w:eastAsia="仿宋_GB2312" w:cs="仿宋_GB2312"/>
          <w:sz w:val="32"/>
          <w:szCs w:val="32"/>
          <w:u w:val="none"/>
        </w:rPr>
        <w:t>是创新起主导作用，摆脱传统经济增长方式、生产力发展路径，具有高科技、高效能、高质量特征，符合新发展理念的先进生产力质态。它由技术革命性突破、生产要素创新性配置、产业深度转型升级而催生，以劳动者、劳动资料、劳动对象及其优化组合的跃升为基本内涵，以全要素生产率大幅提升为核心标志，特点是创新，关键在质优，本质是先进生产力。</w:t>
      </w:r>
    </w:p>
    <w:p>
      <w:pPr>
        <w:spacing w:line="600" w:lineRule="exact"/>
        <w:ind w:firstLine="640" w:firstLineChars="200"/>
        <w:rPr>
          <w:rFonts w:hint="eastAsia" w:ascii="仿宋_GB2312" w:hAnsi="仿宋_GB2312" w:eastAsia="仿宋_GB2312" w:cs="仿宋_GB2312"/>
          <w:sz w:val="32"/>
          <w:szCs w:val="32"/>
          <w:u w:val="none"/>
        </w:rPr>
      </w:pPr>
      <w:r>
        <w:rPr>
          <w:rFonts w:hint="eastAsia" w:ascii="黑体" w:hAnsi="黑体" w:eastAsia="黑体" w:cs="黑体"/>
          <w:sz w:val="32"/>
          <w:szCs w:val="32"/>
          <w:u w:val="none"/>
        </w:rPr>
        <w:t>1</w:t>
      </w:r>
      <w:r>
        <w:rPr>
          <w:rFonts w:hint="eastAsia" w:ascii="黑体" w:hAnsi="黑体" w:eastAsia="黑体" w:cs="黑体"/>
          <w:sz w:val="32"/>
          <w:szCs w:val="32"/>
          <w:u w:val="none"/>
          <w:lang w:val="en-US" w:eastAsia="zh-CN"/>
        </w:rPr>
        <w:t>4</w:t>
      </w:r>
      <w:r>
        <w:rPr>
          <w:rFonts w:hint="eastAsia" w:ascii="黑体" w:hAnsi="黑体" w:eastAsia="黑体" w:cs="黑体"/>
          <w:sz w:val="32"/>
          <w:szCs w:val="32"/>
          <w:u w:val="none"/>
        </w:rPr>
        <w:t>.低空经济：</w:t>
      </w:r>
      <w:r>
        <w:rPr>
          <w:rFonts w:hint="eastAsia" w:ascii="仿宋_GB2312" w:hAnsi="仿宋_GB2312" w:eastAsia="仿宋_GB2312" w:cs="仿宋_GB2312"/>
          <w:sz w:val="32"/>
          <w:szCs w:val="32"/>
          <w:u w:val="none"/>
        </w:rPr>
        <w:t>是一种以低空飞行活动为核心，依托低空空域（通常指垂直高度1000米以下，根据不同地区特点和实际需要可延伸至3000米以内的空域）进行各种有人驾驶和无人驾驶航空器的飞行活动。这种经济形态涵盖了从飞行器的研发制造、低空飞行基础设施建设运营到飞行服务保障等多方面的产业。‌</w:t>
      </w:r>
    </w:p>
    <w:p>
      <w:pPr>
        <w:spacing w:line="600" w:lineRule="exact"/>
        <w:ind w:firstLine="640" w:firstLineChars="200"/>
        <w:rPr>
          <w:rFonts w:hint="eastAsia" w:ascii="仿宋_GB2312" w:hAnsi="仿宋_GB2312" w:eastAsia="仿宋_GB2312" w:cs="仿宋_GB2312"/>
          <w:sz w:val="32"/>
          <w:szCs w:val="32"/>
          <w:u w:val="none"/>
        </w:rPr>
      </w:pPr>
      <w:r>
        <w:rPr>
          <w:rFonts w:hint="eastAsia" w:ascii="黑体" w:hAnsi="黑体" w:eastAsia="黑体" w:cs="黑体"/>
          <w:sz w:val="32"/>
          <w:szCs w:val="32"/>
          <w:u w:val="none"/>
        </w:rPr>
        <w:t>1</w:t>
      </w:r>
      <w:r>
        <w:rPr>
          <w:rFonts w:hint="eastAsia" w:ascii="黑体" w:hAnsi="黑体" w:eastAsia="黑体" w:cs="黑体"/>
          <w:sz w:val="32"/>
          <w:szCs w:val="32"/>
          <w:u w:val="none"/>
          <w:lang w:val="en-US" w:eastAsia="zh-CN"/>
        </w:rPr>
        <w:t>5</w:t>
      </w:r>
      <w:r>
        <w:rPr>
          <w:rFonts w:hint="eastAsia" w:ascii="黑体" w:hAnsi="黑体" w:eastAsia="黑体" w:cs="黑体"/>
          <w:sz w:val="32"/>
          <w:szCs w:val="32"/>
          <w:u w:val="none"/>
        </w:rPr>
        <w:t>.“四港三区”：</w:t>
      </w:r>
      <w:r>
        <w:rPr>
          <w:rFonts w:hint="eastAsia" w:ascii="仿宋_GB2312" w:hAnsi="仿宋_GB2312" w:eastAsia="仿宋_GB2312" w:cs="仿宋_GB2312"/>
          <w:sz w:val="32"/>
          <w:szCs w:val="32"/>
          <w:u w:val="none"/>
        </w:rPr>
        <w:t>“四港”包括遥墙国际机场、董家铁路货运枢纽、济南东站、小清河济南港，“三区”包括临空经济区、东客站片区、董家铁路货运枢纽地区。</w:t>
      </w:r>
    </w:p>
    <w:p>
      <w:pPr>
        <w:spacing w:line="600" w:lineRule="exact"/>
        <w:ind w:firstLine="640" w:firstLineChars="200"/>
        <w:rPr>
          <w:rFonts w:hint="eastAsia" w:ascii="仿宋_GB2312" w:hAnsi="仿宋_GB2312" w:eastAsia="仿宋_GB2312" w:cs="仿宋_GB2312"/>
          <w:sz w:val="32"/>
          <w:szCs w:val="32"/>
          <w:u w:val="none"/>
        </w:rPr>
      </w:pPr>
      <w:r>
        <w:rPr>
          <w:rFonts w:hint="eastAsia" w:ascii="黑体" w:hAnsi="黑体" w:eastAsia="黑体" w:cs="黑体"/>
          <w:sz w:val="32"/>
          <w:szCs w:val="32"/>
          <w:u w:val="none"/>
        </w:rPr>
        <w:t>1</w:t>
      </w:r>
      <w:r>
        <w:rPr>
          <w:rFonts w:hint="eastAsia" w:ascii="黑体" w:hAnsi="黑体" w:eastAsia="黑体" w:cs="黑体"/>
          <w:sz w:val="32"/>
          <w:szCs w:val="32"/>
          <w:u w:val="none"/>
          <w:lang w:val="en-US" w:eastAsia="zh-CN"/>
        </w:rPr>
        <w:t>6</w:t>
      </w:r>
      <w:r>
        <w:rPr>
          <w:rFonts w:hint="eastAsia" w:ascii="黑体" w:hAnsi="黑体" w:eastAsia="黑体" w:cs="黑体"/>
          <w:sz w:val="32"/>
          <w:szCs w:val="32"/>
          <w:u w:val="none"/>
        </w:rPr>
        <w:t>.“1+1+N”服务型消费经济：</w:t>
      </w:r>
      <w:r>
        <w:rPr>
          <w:rFonts w:hint="eastAsia" w:ascii="仿宋_GB2312" w:hAnsi="仿宋_GB2312" w:eastAsia="仿宋_GB2312" w:cs="仿宋_GB2312"/>
          <w:sz w:val="32"/>
          <w:szCs w:val="32"/>
          <w:u w:val="none"/>
        </w:rPr>
        <w:t>“1”是指一个路径，即：产业发展要坚持“政府引导、企业运营、统筹各方、发展共赢”的路径；第二个“1”是指一个平台，即由区属国有企业成立的产业运营平台；“N”是指多种可供市场化运行的消费经济形式。</w:t>
      </w:r>
    </w:p>
    <w:p>
      <w:pPr>
        <w:spacing w:line="600" w:lineRule="exact"/>
        <w:ind w:firstLine="640" w:firstLineChars="200"/>
        <w:rPr>
          <w:rFonts w:hint="eastAsia" w:ascii="仿宋_GB2312" w:hAnsi="仿宋_GB2312" w:eastAsia="仿宋_GB2312" w:cs="仿宋_GB2312"/>
          <w:sz w:val="32"/>
          <w:szCs w:val="32"/>
          <w:u w:val="none"/>
        </w:rPr>
      </w:pPr>
      <w:r>
        <w:rPr>
          <w:rFonts w:hint="eastAsia" w:ascii="黑体" w:hAnsi="黑体" w:eastAsia="黑体" w:cs="黑体"/>
          <w:sz w:val="32"/>
          <w:szCs w:val="32"/>
          <w:u w:val="none"/>
        </w:rPr>
        <w:t>1</w:t>
      </w:r>
      <w:r>
        <w:rPr>
          <w:rFonts w:hint="eastAsia" w:ascii="黑体" w:hAnsi="黑体" w:eastAsia="黑体" w:cs="黑体"/>
          <w:sz w:val="32"/>
          <w:szCs w:val="32"/>
          <w:u w:val="none"/>
          <w:lang w:val="en-US" w:eastAsia="zh-CN"/>
        </w:rPr>
        <w:t>7</w:t>
      </w:r>
      <w:r>
        <w:rPr>
          <w:rFonts w:hint="eastAsia" w:ascii="黑体" w:hAnsi="黑体" w:eastAsia="黑体" w:cs="黑体"/>
          <w:sz w:val="32"/>
          <w:szCs w:val="32"/>
          <w:u w:val="none"/>
        </w:rPr>
        <w:t>.零基预算改革：</w:t>
      </w:r>
      <w:r>
        <w:rPr>
          <w:rFonts w:hint="eastAsia" w:ascii="仿宋_GB2312" w:hAnsi="仿宋_GB2312" w:eastAsia="仿宋_GB2312" w:cs="仿宋_GB2312"/>
          <w:sz w:val="32"/>
          <w:szCs w:val="32"/>
          <w:u w:val="none"/>
        </w:rPr>
        <w:t>是指年度预算编制不受以往预算安排情况的影响，所有的预算支出均以零为基点，从实际需要与可能出发，逐项审议预算年度内各项支出内容的必要性、合理性及其开支标准，打破基数概念和支出固化格局，结合财力状况、轻重缓急、实际需求、绩效情况等多方面，在综合平衡的基础上编制预算的一种方式。‌</w:t>
      </w:r>
    </w:p>
    <w:p>
      <w:pPr>
        <w:spacing w:line="600" w:lineRule="exact"/>
        <w:ind w:firstLine="640" w:firstLineChars="200"/>
        <w:rPr>
          <w:rFonts w:hint="eastAsia" w:ascii="仿宋_GB2312" w:hAnsi="仿宋_GB2312" w:eastAsia="仿宋_GB2312" w:cs="仿宋_GB2312"/>
          <w:sz w:val="32"/>
          <w:szCs w:val="32"/>
          <w:u w:val="none"/>
        </w:rPr>
      </w:pPr>
      <w:r>
        <w:rPr>
          <w:rFonts w:hint="eastAsia" w:ascii="黑体" w:hAnsi="黑体" w:eastAsia="黑体" w:cs="黑体"/>
          <w:sz w:val="32"/>
          <w:szCs w:val="32"/>
          <w:u w:val="none"/>
        </w:rPr>
        <w:t>1</w:t>
      </w:r>
      <w:r>
        <w:rPr>
          <w:rFonts w:hint="eastAsia" w:ascii="黑体" w:hAnsi="黑体" w:eastAsia="黑体" w:cs="黑体"/>
          <w:sz w:val="32"/>
          <w:szCs w:val="32"/>
          <w:u w:val="none"/>
          <w:lang w:val="en-US" w:eastAsia="zh-CN"/>
        </w:rPr>
        <w:t>8</w:t>
      </w:r>
      <w:r>
        <w:rPr>
          <w:rFonts w:hint="eastAsia" w:ascii="黑体" w:hAnsi="黑体" w:eastAsia="黑体" w:cs="黑体"/>
          <w:sz w:val="32"/>
          <w:szCs w:val="32"/>
          <w:u w:val="none"/>
        </w:rPr>
        <w:t>.“六即”服务：</w:t>
      </w:r>
      <w:r>
        <w:rPr>
          <w:rFonts w:hint="eastAsia" w:ascii="仿宋_GB2312" w:hAnsi="仿宋_GB2312" w:eastAsia="仿宋_GB2312" w:cs="仿宋_GB2312"/>
          <w:sz w:val="32"/>
          <w:szCs w:val="32"/>
          <w:u w:val="none"/>
        </w:rPr>
        <w:t>是“谋划即招商、洽谈即入库、签约即帮办、立项即供地、拿地即开工、竣工即交证”的简称，行政审批等部门对项目建设全链条的关键节点工作进行改革，提供“全程保姆式服务”。</w:t>
      </w:r>
    </w:p>
    <w:p>
      <w:pPr>
        <w:spacing w:line="600" w:lineRule="exact"/>
        <w:ind w:firstLine="640" w:firstLineChars="200"/>
        <w:rPr>
          <w:rFonts w:hint="eastAsia" w:ascii="仿宋_GB2312" w:hAnsi="仿宋_GB2312" w:eastAsia="仿宋_GB2312" w:cs="仿宋_GB2312"/>
          <w:sz w:val="32"/>
          <w:szCs w:val="32"/>
          <w:u w:val="none"/>
        </w:rPr>
      </w:pPr>
      <w:r>
        <w:rPr>
          <w:rFonts w:hint="eastAsia" w:ascii="黑体" w:hAnsi="黑体" w:eastAsia="黑体" w:cs="黑体"/>
          <w:sz w:val="32"/>
          <w:szCs w:val="32"/>
          <w:u w:val="none"/>
          <w:lang w:val="en-US" w:eastAsia="zh-CN"/>
        </w:rPr>
        <w:t>19</w:t>
      </w:r>
      <w:r>
        <w:rPr>
          <w:rFonts w:hint="eastAsia" w:ascii="黑体" w:hAnsi="黑体" w:eastAsia="黑体" w:cs="黑体"/>
          <w:sz w:val="32"/>
          <w:szCs w:val="32"/>
          <w:u w:val="none"/>
        </w:rPr>
        <w:t>.“无废城市”：</w:t>
      </w:r>
      <w:r>
        <w:rPr>
          <w:rFonts w:hint="eastAsia" w:ascii="仿宋_GB2312" w:hAnsi="仿宋_GB2312" w:eastAsia="仿宋_GB2312" w:cs="仿宋_GB2312"/>
          <w:sz w:val="32"/>
          <w:szCs w:val="32"/>
          <w:u w:val="none"/>
        </w:rPr>
        <w:t>是以创新、协调、绿色、开放、共享的新发展理念为引领，通过推动形成绿色发展方式和生活方式，持续推进固体废物源头减量和资源化利用，最大限度减少填埋量，将固体废物环境影响降至最低的城市发展模式，也是一种先进的城市管理理念。</w:t>
      </w:r>
    </w:p>
    <w:p>
      <w:pPr>
        <w:spacing w:line="600" w:lineRule="exact"/>
        <w:ind w:firstLine="640" w:firstLineChars="200"/>
        <w:rPr>
          <w:rFonts w:hint="eastAsia" w:ascii="仿宋_GB2312" w:hAnsi="仿宋_GB2312" w:eastAsia="仿宋_GB2312" w:cs="仿宋_GB2312"/>
          <w:sz w:val="32"/>
          <w:szCs w:val="32"/>
          <w:u w:val="none"/>
        </w:rPr>
      </w:pPr>
      <w:r>
        <w:rPr>
          <w:rFonts w:hint="eastAsia" w:ascii="黑体" w:hAnsi="黑体" w:eastAsia="黑体" w:cs="黑体"/>
          <w:sz w:val="32"/>
          <w:szCs w:val="32"/>
          <w:u w:val="none"/>
          <w:lang w:val="en-US" w:eastAsia="zh-CN"/>
        </w:rPr>
        <w:t>20</w:t>
      </w:r>
      <w:r>
        <w:rPr>
          <w:rFonts w:hint="eastAsia" w:ascii="黑体" w:hAnsi="黑体" w:eastAsia="黑体" w:cs="黑体"/>
          <w:sz w:val="32"/>
          <w:szCs w:val="32"/>
          <w:u w:val="none"/>
        </w:rPr>
        <w:t>.“四下基层”：</w:t>
      </w:r>
      <w:r>
        <w:rPr>
          <w:rFonts w:hint="eastAsia" w:ascii="仿宋_GB2312" w:hAnsi="仿宋_GB2312" w:eastAsia="仿宋_GB2312" w:cs="仿宋_GB2312"/>
          <w:sz w:val="32"/>
          <w:szCs w:val="32"/>
          <w:u w:val="none"/>
        </w:rPr>
        <w:t>即宣传党的路线、方针、政策下基层，调查研究下基层，信访接待下基层，现场办公下基层，这是习近平总书记在福建宁德工作时大力倡导并躬身力行形成的工作方法和工作制度，是践行党的群众路线的重大创举。</w:t>
      </w:r>
    </w:p>
    <w:p>
      <w:pPr>
        <w:spacing w:line="600" w:lineRule="exact"/>
        <w:ind w:firstLine="640" w:firstLineChars="200"/>
        <w:rPr>
          <w:rFonts w:hint="eastAsia" w:ascii="仿宋_GB2312" w:hAnsi="仿宋_GB2312" w:eastAsia="仿宋_GB2312" w:cs="仿宋_GB2312"/>
          <w:sz w:val="32"/>
          <w:szCs w:val="32"/>
          <w:u w:val="none"/>
        </w:rPr>
      </w:pPr>
    </w:p>
    <w:sectPr>
      <w:footerReference r:id="rId3" w:type="default"/>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文星标宋">
    <w:panose1 w:val="0201060900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ans-serif">
    <w:altName w:val="仿宋_GB2312"/>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57175" cy="1828800"/>
              <wp:effectExtent l="0" t="0" r="9525" b="3810"/>
              <wp:wrapNone/>
              <wp:docPr id="4097" name="文本框 1"/>
              <wp:cNvGraphicFramePr/>
              <a:graphic xmlns:a="http://schemas.openxmlformats.org/drawingml/2006/main">
                <a:graphicData uri="http://schemas.microsoft.com/office/word/2010/wordprocessingShape">
                  <wps:wsp>
                    <wps:cNvSpPr/>
                    <wps:spPr>
                      <a:xfrm>
                        <a:off x="0" y="0"/>
                        <a:ext cx="257175" cy="1828800"/>
                      </a:xfrm>
                      <a:prstGeom prst="rect">
                        <a:avLst/>
                      </a:prstGeom>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square" lIns="0" tIns="0" rIns="0" bIns="0" anchor="t">
                      <a:spAutoFit/>
                    </wps:bodyPr>
                  </wps:wsp>
                </a:graphicData>
              </a:graphic>
            </wp:anchor>
          </w:drawing>
        </mc:Choice>
        <mc:Fallback>
          <w:pict>
            <v:rect id="文本框 1" o:spid="_x0000_s1026" o:spt="1" style="position:absolute;left:0pt;margin-top:0pt;height:144pt;width:20.25pt;mso-position-horizontal:center;mso-position-horizontal-relative:margin;z-index:251659264;mso-width-relative:page;mso-height-relative:page;" filled="f" stroked="f" coordsize="21600,21600" o:gfxdata="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XQ+6hNUAAAAEAQAADwAAAAAAAAABACAAAAAiAAAA&#10;ZHJzL2Rvd25yZXYueG1sUEsBAhQAFAAAAAgAh07iQBKXkEDRAQAAkwMAAA4AAAAAAAAAAQAgAAAA&#10;JAEAAGRycy9lMm9Eb2MueG1sUEsFBgAAAAAGAAYAWQEAAGc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0YTdiNGE5NWFjMmY5MTFkYThkYTk0YWZjYzg2MjgifQ=="/>
  </w:docVars>
  <w:rsids>
    <w:rsidRoot w:val="00000000"/>
    <w:rsid w:val="01B96726"/>
    <w:rsid w:val="02B8005B"/>
    <w:rsid w:val="03D472D2"/>
    <w:rsid w:val="049D0E46"/>
    <w:rsid w:val="06D3561E"/>
    <w:rsid w:val="0FF00AF3"/>
    <w:rsid w:val="10142ABF"/>
    <w:rsid w:val="11D565DE"/>
    <w:rsid w:val="148D1BB2"/>
    <w:rsid w:val="15934CE9"/>
    <w:rsid w:val="197C33DD"/>
    <w:rsid w:val="1A3826E6"/>
    <w:rsid w:val="1A8B2770"/>
    <w:rsid w:val="1AB97E67"/>
    <w:rsid w:val="1EB2561D"/>
    <w:rsid w:val="213808A5"/>
    <w:rsid w:val="21AE00C7"/>
    <w:rsid w:val="24FA567D"/>
    <w:rsid w:val="26B1536C"/>
    <w:rsid w:val="27A06B6B"/>
    <w:rsid w:val="32BE6117"/>
    <w:rsid w:val="3529098B"/>
    <w:rsid w:val="35CD7BE6"/>
    <w:rsid w:val="37DB64E0"/>
    <w:rsid w:val="38CA7432"/>
    <w:rsid w:val="3A956D47"/>
    <w:rsid w:val="40C559FD"/>
    <w:rsid w:val="426B5A4E"/>
    <w:rsid w:val="468B21B2"/>
    <w:rsid w:val="4A7F4E6E"/>
    <w:rsid w:val="4A985C3B"/>
    <w:rsid w:val="4E31007B"/>
    <w:rsid w:val="4FA84595"/>
    <w:rsid w:val="51F460A3"/>
    <w:rsid w:val="566118CC"/>
    <w:rsid w:val="578B5972"/>
    <w:rsid w:val="589E2AC1"/>
    <w:rsid w:val="5AB346C0"/>
    <w:rsid w:val="5C1318BA"/>
    <w:rsid w:val="5E49752D"/>
    <w:rsid w:val="5FC77D19"/>
    <w:rsid w:val="61580B32"/>
    <w:rsid w:val="61771C23"/>
    <w:rsid w:val="663761A5"/>
    <w:rsid w:val="66D142C1"/>
    <w:rsid w:val="69307BF1"/>
    <w:rsid w:val="69DD33B1"/>
    <w:rsid w:val="6C24139B"/>
    <w:rsid w:val="6C754E7C"/>
    <w:rsid w:val="6CF03BC7"/>
    <w:rsid w:val="70BF7984"/>
    <w:rsid w:val="76A07D97"/>
    <w:rsid w:val="77766FDA"/>
    <w:rsid w:val="7ABD12E5"/>
    <w:rsid w:val="7B1C2BBF"/>
    <w:rsid w:val="7CA719A4"/>
    <w:rsid w:val="F7EE1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autoRedefine/>
    <w:qFormat/>
    <w:uiPriority w:val="1"/>
  </w:style>
  <w:style w:type="table" w:default="1" w:styleId="6">
    <w:name w:val="Normal Table"/>
    <w:autoRedefine/>
    <w:qFormat/>
    <w:uiPriority w:val="99"/>
    <w:tblPr>
      <w:tblCellMar>
        <w:top w:w="0" w:type="dxa"/>
        <w:left w:w="108" w:type="dxa"/>
        <w:bottom w:w="0" w:type="dxa"/>
        <w:right w:w="108" w:type="dxa"/>
      </w:tblCellMar>
    </w:tblPr>
  </w:style>
  <w:style w:type="paragraph" w:styleId="2">
    <w:name w:val="footer"/>
    <w:basedOn w:val="1"/>
    <w:link w:val="11"/>
    <w:autoRedefine/>
    <w:qFormat/>
    <w:uiPriority w:val="99"/>
    <w:pPr>
      <w:tabs>
        <w:tab w:val="center" w:pos="4153"/>
        <w:tab w:val="right" w:pos="8306"/>
      </w:tabs>
      <w:snapToGrid w:val="0"/>
      <w:jc w:val="left"/>
    </w:pPr>
    <w:rPr>
      <w:sz w:val="18"/>
      <w:szCs w:val="18"/>
    </w:rPr>
  </w:style>
  <w:style w:type="paragraph" w:styleId="3">
    <w:name w:val="header"/>
    <w:basedOn w:val="1"/>
    <w:link w:val="10"/>
    <w:autoRedefine/>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autoRedefine/>
    <w:qFormat/>
    <w:uiPriority w:val="99"/>
    <w:pPr>
      <w:snapToGrid w:val="0"/>
      <w:jc w:val="left"/>
    </w:pPr>
    <w:rPr>
      <w:sz w:val="18"/>
      <w:szCs w:val="18"/>
    </w:rPr>
  </w:style>
  <w:style w:type="paragraph" w:styleId="5">
    <w:name w:val="Normal (Web)"/>
    <w:basedOn w:val="1"/>
    <w:autoRedefine/>
    <w:qFormat/>
    <w:uiPriority w:val="0"/>
    <w:pPr>
      <w:spacing w:beforeAutospacing="1" w:afterAutospacing="1"/>
      <w:jc w:val="left"/>
    </w:pPr>
    <w:rPr>
      <w:kern w:val="0"/>
      <w:sz w:val="24"/>
    </w:rPr>
  </w:style>
  <w:style w:type="character" w:styleId="8">
    <w:name w:val="Strong"/>
    <w:basedOn w:val="7"/>
    <w:autoRedefine/>
    <w:qFormat/>
    <w:uiPriority w:val="0"/>
    <w:rPr>
      <w:b/>
    </w:rPr>
  </w:style>
  <w:style w:type="paragraph" w:customStyle="1" w:styleId="9">
    <w:name w:val="Default"/>
    <w:next w:val="1"/>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0">
    <w:name w:val="页眉 字符"/>
    <w:basedOn w:val="7"/>
    <w:link w:val="3"/>
    <w:autoRedefine/>
    <w:qFormat/>
    <w:uiPriority w:val="99"/>
    <w:rPr>
      <w:sz w:val="18"/>
      <w:szCs w:val="18"/>
    </w:rPr>
  </w:style>
  <w:style w:type="character" w:customStyle="1" w:styleId="11">
    <w:name w:val="页脚 字符"/>
    <w:basedOn w:val="7"/>
    <w:link w:val="2"/>
    <w:autoRedefine/>
    <w:qFormat/>
    <w:uiPriority w:val="99"/>
    <w:rPr>
      <w:sz w:val="18"/>
      <w:szCs w:val="18"/>
    </w:rPr>
  </w:style>
  <w:style w:type="paragraph" w:customStyle="1" w:styleId="12">
    <w:name w:val="修订1"/>
    <w:autoRedefine/>
    <w:qFormat/>
    <w:uiPriority w:val="99"/>
    <w:rPr>
      <w:rFonts w:ascii="Calibri" w:hAnsi="Calibri" w:eastAsia="宋体" w:cs="宋体"/>
      <w:kern w:val="2"/>
      <w:sz w:val="21"/>
      <w:szCs w:val="22"/>
      <w:lang w:val="en-US" w:eastAsia="zh-CN" w:bidi="ar-SA"/>
    </w:rPr>
  </w:style>
  <w:style w:type="paragraph" w:customStyle="1" w:styleId="13">
    <w:name w:val="修订2"/>
    <w:autoRedefine/>
    <w:qFormat/>
    <w:uiPriority w:val="99"/>
    <w:rPr>
      <w:rFonts w:ascii="Calibri" w:hAnsi="Calibri" w:eastAsia="宋体" w:cs="宋体"/>
      <w:kern w:val="2"/>
      <w:sz w:val="21"/>
      <w:szCs w:val="22"/>
      <w:lang w:val="en-US" w:eastAsia="zh-CN" w:bidi="ar-SA"/>
    </w:rPr>
  </w:style>
  <w:style w:type="paragraph" w:customStyle="1" w:styleId="14">
    <w:name w:val="修订3"/>
    <w:autoRedefine/>
    <w:qFormat/>
    <w:uiPriority w:val="99"/>
    <w:rPr>
      <w:rFonts w:ascii="Calibri" w:hAnsi="Calibri" w:eastAsia="宋体" w:cs="宋体"/>
      <w:kern w:val="2"/>
      <w:sz w:val="21"/>
      <w:szCs w:val="22"/>
      <w:lang w:val="en-US" w:eastAsia="zh-CN" w:bidi="ar-SA"/>
    </w:rPr>
  </w:style>
  <w:style w:type="paragraph" w:customStyle="1" w:styleId="15">
    <w:name w:val="修订4"/>
    <w:autoRedefine/>
    <w:qFormat/>
    <w:uiPriority w:val="99"/>
    <w:rPr>
      <w:rFonts w:ascii="Calibri" w:hAnsi="Calibri" w:eastAsia="宋体" w:cs="宋体"/>
      <w:kern w:val="2"/>
      <w:sz w:val="21"/>
      <w:szCs w:val="22"/>
      <w:lang w:val="en-US" w:eastAsia="zh-CN" w:bidi="ar-SA"/>
    </w:rPr>
  </w:style>
  <w:style w:type="paragraph" w:customStyle="1" w:styleId="16">
    <w:name w:val="修订5"/>
    <w:autoRedefine/>
    <w:qFormat/>
    <w:uiPriority w:val="99"/>
    <w:rPr>
      <w:rFonts w:ascii="Calibri" w:hAnsi="Calibri" w:eastAsia="宋体" w:cs="宋体"/>
      <w:kern w:val="2"/>
      <w:sz w:val="21"/>
      <w:szCs w:val="22"/>
      <w:lang w:val="en-US" w:eastAsia="zh-CN" w:bidi="ar-SA"/>
    </w:rPr>
  </w:style>
  <w:style w:type="paragraph" w:customStyle="1" w:styleId="17">
    <w:name w:val="Revision_2972ad4c-5736-4d67-8cde-c0e0b45fe9ce"/>
    <w:autoRedefine/>
    <w:qFormat/>
    <w:uiPriority w:val="99"/>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27</Pages>
  <Words>14742</Words>
  <Characters>15132</Characters>
  <Paragraphs>75</Paragraphs>
  <TotalTime>170</TotalTime>
  <ScaleCrop>false</ScaleCrop>
  <LinksUpToDate>false</LinksUpToDate>
  <CharactersWithSpaces>15140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2024-12-04T15:15:00Z</dcterms:created>
  <dc:creator>Windows User</dc:creator>
  <cp:lastModifiedBy>爱舞</cp:lastModifiedBy>
  <cp:lastPrinted>2024-12-06T15:39:00Z</cp:lastPrinted>
  <dcterms:modified xsi:type="dcterms:W3CDTF">2025-02-19T09:04:20Z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4BAE4B8256B94598888428845DD5A288_13</vt:lpwstr>
  </property>
  <property fmtid="{D5CDD505-2E9C-101B-9397-08002B2CF9AE}" pid="4" name="KSOTemplateDocerSaveRecord">
    <vt:lpwstr>eyJoZGlkIjoiNWU0MzQ0MGQ3NDg0Y2E3NzdmZTkwYzVhYjVlMzEwNmQifQ==</vt:lpwstr>
  </property>
</Properties>
</file>