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B9D81E0">
      <w:pPr>
        <w:spacing w:line="560" w:lineRule="exact"/>
        <w:ind w:firstLine="560" w:firstLineChars="200"/>
        <w:rPr>
          <w:rFonts w:ascii="黑体" w:hAnsi="黑体" w:eastAsia="黑体"/>
          <w:sz w:val="28"/>
          <w:szCs w:val="28"/>
        </w:rPr>
      </w:pPr>
      <w:r>
        <w:rPr>
          <w:rFonts w:hint="eastAsia" w:ascii="黑体" w:hAnsi="黑体" w:eastAsia="黑体"/>
          <w:sz w:val="28"/>
          <w:szCs w:val="28"/>
        </w:rPr>
        <w:t>一、事项名称</w:t>
      </w:r>
    </w:p>
    <w:p w14:paraId="0911B1A1">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一次性扩岗补助</w:t>
      </w:r>
    </w:p>
    <w:p w14:paraId="3A93115F">
      <w:pPr>
        <w:spacing w:line="560" w:lineRule="exact"/>
        <w:ind w:firstLine="560" w:firstLineChars="200"/>
        <w:rPr>
          <w:rFonts w:ascii="黑体" w:hAnsi="黑体" w:eastAsia="黑体"/>
          <w:sz w:val="28"/>
          <w:szCs w:val="28"/>
        </w:rPr>
      </w:pPr>
      <w:r>
        <w:rPr>
          <w:rFonts w:hint="eastAsia" w:ascii="黑体" w:hAnsi="黑体" w:eastAsia="黑体"/>
          <w:sz w:val="28"/>
          <w:szCs w:val="28"/>
        </w:rPr>
        <w:t>二、政策依据</w:t>
      </w:r>
    </w:p>
    <w:p w14:paraId="143000D7">
      <w:pPr>
        <w:spacing w:line="560" w:lineRule="exact"/>
        <w:ind w:firstLine="560" w:firstLineChars="200"/>
        <w:rPr>
          <w:rFonts w:hint="eastAsia"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《关于转发〈山东省人力资源和社会保障厅关于转发人力资源社会保障部办公厅做好一次性扩岗补助经办工作的通知〉的通知》</w:t>
      </w:r>
    </w:p>
    <w:p w14:paraId="3CAB1237">
      <w:pPr>
        <w:spacing w:line="560" w:lineRule="exact"/>
        <w:ind w:firstLine="560" w:firstLineChars="200"/>
        <w:rPr>
          <w:rFonts w:hint="eastAsia" w:ascii="黑体" w:hAnsi="黑体" w:eastAsia="黑体"/>
          <w:sz w:val="28"/>
          <w:szCs w:val="28"/>
        </w:rPr>
      </w:pPr>
      <w:r>
        <w:rPr>
          <w:rFonts w:hint="eastAsia" w:ascii="黑体" w:hAnsi="黑体" w:eastAsia="黑体"/>
          <w:sz w:val="28"/>
          <w:szCs w:val="28"/>
        </w:rPr>
        <w:t>办理条件</w:t>
      </w:r>
    </w:p>
    <w:p w14:paraId="7495F040">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济南市行政区域内登记注册的企业与</w:t>
      </w:r>
      <w:r>
        <w:rPr>
          <w:rFonts w:hint="eastAsia" w:ascii="仿宋_GB2312" w:hAnsi="仿宋_GB2312" w:eastAsia="仿宋_GB2312" w:cs="仿宋_GB2312"/>
          <w:color w:val="000000"/>
          <w:kern w:val="0"/>
          <w:sz w:val="28"/>
          <w:szCs w:val="28"/>
          <w:lang w:bidi="ar"/>
        </w:rPr>
        <w:t>毕业年度高校毕业生、离校两年内未就业高校毕业生、16-24周岁登记失业青年三类人员</w:t>
      </w:r>
      <w:r>
        <w:rPr>
          <w:rFonts w:hint="eastAsia" w:ascii="仿宋" w:hAnsi="仿宋" w:eastAsia="仿宋" w:cs="仿宋"/>
          <w:sz w:val="28"/>
          <w:szCs w:val="28"/>
        </w:rPr>
        <w:t>签订劳动合同并为其</w:t>
      </w:r>
      <w:r>
        <w:rPr>
          <w:rFonts w:hint="eastAsia" w:ascii="仿宋_GB2312" w:hAnsi="仿宋_GB2312" w:eastAsia="仿宋_GB2312" w:cs="仿宋_GB2312"/>
          <w:color w:val="000000"/>
          <w:kern w:val="0"/>
          <w:sz w:val="28"/>
          <w:szCs w:val="28"/>
          <w:lang w:bidi="ar"/>
        </w:rPr>
        <w:t>足额缴纳失业、工伤、职工养老保险费满3个月,且审核时处于正常参保缴费状态</w:t>
      </w:r>
      <w:r>
        <w:rPr>
          <w:rFonts w:hint="eastAsia" w:ascii="仿宋" w:hAnsi="仿宋" w:eastAsia="仿宋" w:cs="仿宋"/>
          <w:sz w:val="28"/>
          <w:szCs w:val="28"/>
        </w:rPr>
        <w:t>的，可按照每人1500元的标准申请一次性扩岗补助。</w:t>
      </w:r>
      <w:r>
        <w:rPr>
          <w:rFonts w:hint="eastAsia" w:ascii="仿宋_GB2312" w:hAnsi="仿宋_GB2312" w:eastAsia="仿宋_GB2312" w:cs="仿宋_GB2312"/>
          <w:color w:val="000000"/>
          <w:kern w:val="0"/>
          <w:sz w:val="28"/>
          <w:szCs w:val="28"/>
          <w:lang w:bidi="ar"/>
        </w:rPr>
        <w:t>企业招用相关人员时间应在2O24年1月1日至2025年12月31日之间。企业按招用人员在申领企业首月参保时间确认,不区分以往年度是否在其他单位参加社会保险。</w:t>
      </w:r>
    </w:p>
    <w:p w14:paraId="07433AC4">
      <w:pPr>
        <w:spacing w:line="560" w:lineRule="exact"/>
        <w:ind w:firstLine="560" w:firstLineChars="200"/>
        <w:rPr>
          <w:rFonts w:hint="eastAsia" w:ascii="仿宋_GB2312" w:hAnsi="仿宋_GB2312" w:eastAsia="仿宋_GB2312" w:cs="仿宋_GB2312"/>
          <w:color w:val="000000"/>
          <w:kern w:val="0"/>
          <w:sz w:val="28"/>
          <w:szCs w:val="28"/>
          <w:lang w:bidi="ar"/>
        </w:rPr>
      </w:pPr>
      <w:r>
        <w:rPr>
          <w:rFonts w:hint="eastAsia" w:ascii="仿宋_GB2312" w:hAnsi="仿宋_GB2312" w:eastAsia="仿宋_GB2312" w:cs="仿宋_GB2312"/>
          <w:color w:val="000000"/>
          <w:kern w:val="0"/>
          <w:sz w:val="28"/>
          <w:szCs w:val="28"/>
          <w:lang w:bidi="ar"/>
        </w:rPr>
        <w:t>高校毕业生指的是在中华人民共和国境内接受普通高等学历教育取得普通高等学校毕业证书的毕业生,包括研究生和本科、专科(高职)毕业生,不包括函授、成人教育、技师学院高级工班、预备技师班等毕业生。离校两年内未就业高校毕业生毕业时间不早于2022年(2024年招用)、2023年(2025年招用)</w:t>
      </w:r>
      <w:r>
        <w:rPr>
          <w:rFonts w:hint="eastAsia" w:ascii="仿宋_GB2312" w:hAnsi="仿宋_GB2312" w:eastAsia="仿宋_GB2312" w:cs="仿宋_GB2312"/>
          <w:sz w:val="28"/>
          <w:szCs w:val="28"/>
        </w:rPr>
        <w:t>。</w:t>
      </w:r>
    </w:p>
    <w:p w14:paraId="5101AB7B">
      <w:pPr>
        <w:spacing w:line="560" w:lineRule="exact"/>
        <w:ind w:firstLine="560" w:firstLineChars="200"/>
        <w:rPr>
          <w:rFonts w:hint="eastAsia" w:ascii="仿宋_GB2312" w:hAnsi="仿宋_GB2312" w:eastAsia="仿宋_GB2312" w:cs="仿宋_GB2312"/>
          <w:color w:val="000000"/>
          <w:kern w:val="0"/>
          <w:sz w:val="28"/>
          <w:szCs w:val="28"/>
          <w:lang w:bidi="ar"/>
        </w:rPr>
      </w:pPr>
      <w:r>
        <w:rPr>
          <w:rFonts w:hint="eastAsia" w:ascii="仿宋_GB2312" w:hAnsi="仿宋_GB2312" w:eastAsia="仿宋_GB2312" w:cs="仿宋_GB2312"/>
          <w:sz w:val="28"/>
          <w:szCs w:val="28"/>
        </w:rPr>
        <w:t>16-24周岁失业青年</w:t>
      </w:r>
      <w:r>
        <w:rPr>
          <w:rFonts w:ascii="仿宋_GB2312" w:hAnsi="仿宋_GB2312" w:eastAsia="仿宋_GB2312" w:cs="仿宋_GB2312"/>
          <w:sz w:val="28"/>
          <w:szCs w:val="28"/>
        </w:rPr>
        <w:t>，是指本人</w:t>
      </w:r>
      <w:r>
        <w:rPr>
          <w:rFonts w:hint="eastAsia" w:ascii="仿宋_GB2312" w:hAnsi="仿宋_GB2312" w:eastAsia="仿宋_GB2312" w:cs="仿宋_GB2312"/>
          <w:sz w:val="28"/>
          <w:szCs w:val="28"/>
        </w:rPr>
        <w:t>在该企业就业前须进行失业登记</w:t>
      </w:r>
      <w:r>
        <w:rPr>
          <w:rFonts w:ascii="仿宋_GB2312" w:hAnsi="仿宋_GB2312" w:eastAsia="仿宋_GB2312" w:cs="仿宋_GB2312"/>
          <w:sz w:val="28"/>
          <w:szCs w:val="28"/>
        </w:rPr>
        <w:t>。</w:t>
      </w:r>
    </w:p>
    <w:p w14:paraId="3348C6B1">
      <w:pPr>
        <w:widowControl/>
        <w:ind w:firstLine="560" w:firstLineChars="200"/>
        <w:jc w:val="left"/>
        <w:rPr>
          <w:rFonts w:ascii="仿宋" w:hAnsi="仿宋" w:eastAsia="仿宋" w:cs="仿宋"/>
          <w:sz w:val="28"/>
          <w:szCs w:val="28"/>
        </w:rPr>
      </w:pPr>
      <w:r>
        <w:rPr>
          <w:rFonts w:hint="eastAsia" w:ascii="仿宋_GB2312" w:hAnsi="仿宋_GB2312" w:eastAsia="仿宋_GB2312" w:cs="仿宋_GB2312"/>
          <w:color w:val="000000"/>
          <w:kern w:val="0"/>
          <w:sz w:val="28"/>
          <w:szCs w:val="28"/>
          <w:lang w:bidi="ar"/>
        </w:rPr>
        <w:t>同一人员身份信息只能享受1次一次性扩岗补助,不得跨企业、跨年度、跨地区、跨资金渠道重复享受。已由之前受雇企业享受或同一企业在以前年度及其他地区享受、已用于享受就业补助资金支出的一次性吸纳就业补贴或一次性扩岗补助的,相关人员信息不能再用于享受一次性扩岗补助</w:t>
      </w:r>
      <w:r>
        <w:rPr>
          <w:rFonts w:hint="eastAsia" w:ascii="仿宋" w:hAnsi="仿宋" w:eastAsia="仿宋" w:cs="仿宋"/>
          <w:sz w:val="28"/>
          <w:szCs w:val="28"/>
        </w:rPr>
        <w:t>。</w:t>
      </w:r>
    </w:p>
    <w:p w14:paraId="5BE40E46">
      <w:pPr>
        <w:spacing w:line="560" w:lineRule="exact"/>
        <w:ind w:firstLine="649" w:firstLineChars="232"/>
        <w:rPr>
          <w:rFonts w:ascii="黑体" w:hAnsi="黑体" w:eastAsia="黑体"/>
          <w:sz w:val="28"/>
          <w:szCs w:val="28"/>
        </w:rPr>
      </w:pPr>
      <w:r>
        <w:rPr>
          <w:rFonts w:hint="eastAsia" w:ascii="黑体" w:hAnsi="黑体" w:eastAsia="黑体"/>
          <w:sz w:val="28"/>
          <w:szCs w:val="28"/>
        </w:rPr>
        <w:t>四、办理材料</w:t>
      </w:r>
    </w:p>
    <w:p w14:paraId="315D5DB2">
      <w:pPr>
        <w:spacing w:line="560" w:lineRule="exact"/>
        <w:ind w:firstLine="560" w:firstLineChars="200"/>
        <w:rPr>
          <w:rFonts w:hint="eastAsia" w:ascii="楷体" w:hAnsi="楷体" w:eastAsia="楷体" w:cs="楷体"/>
          <w:sz w:val="28"/>
          <w:szCs w:val="28"/>
        </w:rPr>
      </w:pPr>
      <w:r>
        <w:rPr>
          <w:rFonts w:hint="eastAsia" w:ascii="楷体" w:hAnsi="楷体" w:eastAsia="楷体" w:cs="楷体"/>
          <w:sz w:val="28"/>
          <w:szCs w:val="28"/>
        </w:rPr>
        <w:t>（一）企业需要提供的材料</w:t>
      </w:r>
    </w:p>
    <w:p w14:paraId="0A92499F">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1.一次性扩岗补助申请报盘电子文档（可从“济南市公共就业服务中心”官网下载，依据企业和招用的高校毕业生实际情况填写内容，报盘文档格式请勿变更修改）</w:t>
      </w:r>
    </w:p>
    <w:p w14:paraId="4FA3C333">
      <w:pPr>
        <w:spacing w:line="560" w:lineRule="exact"/>
        <w:ind w:firstLine="560" w:firstLineChars="200"/>
        <w:rPr>
          <w:rFonts w:ascii="仿宋" w:hAnsi="仿宋" w:eastAsia="仿宋" w:cs="仿宋"/>
          <w:sz w:val="28"/>
          <w:szCs w:val="28"/>
        </w:rPr>
      </w:pPr>
      <w:r>
        <w:rPr>
          <w:rFonts w:hint="eastAsia" w:ascii="仿宋" w:hAnsi="仿宋" w:eastAsia="仿宋" w:cs="仿宋"/>
          <w:sz w:val="28"/>
          <w:szCs w:val="28"/>
        </w:rPr>
        <w:t>2.企业营业执照副本复印件；</w:t>
      </w:r>
    </w:p>
    <w:p w14:paraId="5464EE16">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3.企业与新招用毕业年度普通高校毕业生签订的劳动合同复印件；</w:t>
      </w:r>
    </w:p>
    <w:p w14:paraId="0987F811">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4.《申请一次性扩岗补助人员花名册》（附件1，可从“济南市公共就业服务中心”官网下载）；</w:t>
      </w:r>
    </w:p>
    <w:p w14:paraId="5DD9D080">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5.经营性人力资源服务机构、劳务派遣机构（以下简称派遣企业），须现场申报，除以上资料外，还需提供劳务派遣资质证明、劳务派遣协议（或承揽、外包协议）等相关资料、《派遣企业与用工企业一次性扩岗补助确认书》（附件2，可从“济南市公共就业服务中心”官网下载）。</w:t>
      </w:r>
    </w:p>
    <w:p w14:paraId="64219475">
      <w:pPr>
        <w:pStyle w:val="2"/>
        <w:ind w:firstLine="560" w:firstLineChars="200"/>
        <w:rPr>
          <w:sz w:val="28"/>
          <w:szCs w:val="28"/>
        </w:rPr>
      </w:pPr>
      <w:r>
        <w:rPr>
          <w:rFonts w:hint="eastAsia" w:ascii="仿宋" w:hAnsi="仿宋" w:eastAsia="仿宋" w:cs="仿宋"/>
          <w:sz w:val="28"/>
          <w:szCs w:val="28"/>
        </w:rPr>
        <w:t>上述纸质材料（第2、3、4、5项）需提供PDF或者JPG格式的电子文档。</w:t>
      </w:r>
    </w:p>
    <w:p w14:paraId="426EC563">
      <w:pPr>
        <w:spacing w:line="560" w:lineRule="exact"/>
        <w:ind w:firstLine="560" w:firstLineChars="200"/>
        <w:rPr>
          <w:rFonts w:hint="eastAsia" w:ascii="楷体" w:hAnsi="楷体" w:eastAsia="楷体" w:cs="楷体"/>
          <w:sz w:val="28"/>
          <w:szCs w:val="28"/>
        </w:rPr>
      </w:pPr>
      <w:r>
        <w:rPr>
          <w:rFonts w:hint="eastAsia" w:ascii="楷体" w:hAnsi="楷体" w:eastAsia="楷体" w:cs="楷体"/>
          <w:sz w:val="28"/>
          <w:szCs w:val="28"/>
        </w:rPr>
        <w:t>（二）经办机构需要内部校验的材料</w:t>
      </w:r>
    </w:p>
    <w:p w14:paraId="712E458D">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1.校验招用时间。企业招用相关人员时间应在2O24年1月1日至2025年12月31日之间。可按招用人员在申领企业首月参保时间确认，不区分以往年度是否在其他单位参加社会保险。</w:t>
      </w:r>
    </w:p>
    <w:p w14:paraId="3B2E0C6A">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2.校验身份信息。利用数据比对确认招用人员身份。毕业年度普通高校毕业生信息可从“普通高校应届毕业生身份核验接口”获取,离校两年内未就业普通高校毕业生信息可通过核验其毕业时间确认，毕业时间等受教育信息以教育部门提供为准。16-24周岁登记失业青年信息可从本地人社部门的登记失业人员信息库获取（此类人员就业前须进行失业登记）。</w:t>
      </w:r>
    </w:p>
    <w:p w14:paraId="070B992D">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3.校验参保缴费期限及状态。申领企业为相关人员足额缴纳失业、工伤、职工养老保险费满3个月，且审核时处于正常参保缴费状态。</w:t>
      </w:r>
    </w:p>
    <w:p w14:paraId="5BB8F87B">
      <w:pPr>
        <w:spacing w:line="560" w:lineRule="exact"/>
        <w:ind w:firstLine="495" w:firstLineChars="177"/>
        <w:rPr>
          <w:rFonts w:hint="eastAsia" w:ascii="黑体" w:hAnsi="黑体" w:eastAsia="黑体"/>
          <w:sz w:val="28"/>
          <w:szCs w:val="28"/>
        </w:rPr>
      </w:pPr>
      <w:r>
        <w:rPr>
          <w:rFonts w:hint="eastAsia" w:ascii="黑体" w:hAnsi="黑体" w:eastAsia="黑体"/>
          <w:sz w:val="28"/>
          <w:szCs w:val="28"/>
        </w:rPr>
        <w:t>五、企业申报流程</w:t>
      </w:r>
    </w:p>
    <w:p w14:paraId="53C4C19A">
      <w:pPr>
        <w:spacing w:line="560" w:lineRule="exact"/>
        <w:ind w:firstLine="495" w:firstLineChars="177"/>
        <w:rPr>
          <w:rFonts w:ascii="楷体" w:hAnsi="楷体" w:eastAsia="楷体" w:cs="楷体"/>
          <w:sz w:val="28"/>
          <w:szCs w:val="28"/>
        </w:rPr>
      </w:pPr>
      <w:r>
        <w:rPr>
          <w:rFonts w:hint="eastAsia" w:ascii="楷体" w:hAnsi="楷体" w:eastAsia="楷体" w:cs="楷体"/>
          <w:sz w:val="28"/>
          <w:szCs w:val="28"/>
        </w:rPr>
        <w:t>（一）派遣企业现场申报流程</w:t>
      </w:r>
    </w:p>
    <w:p w14:paraId="00568BA2">
      <w:pPr>
        <w:spacing w:line="560"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派遣企业及无法进行线上申请企业携带申请材料到企业注册登记地所在的区县（功能区）公共就业服务机构提出申请（申请地址、联系电话见附件，请先拨打电话预约）。</w:t>
      </w:r>
    </w:p>
    <w:p w14:paraId="5D99ED41">
      <w:pPr>
        <w:numPr>
          <w:ilvl w:val="0"/>
          <w:numId w:val="1"/>
        </w:numPr>
        <w:spacing w:line="560" w:lineRule="exact"/>
        <w:ind w:firstLine="495" w:firstLineChars="177"/>
        <w:rPr>
          <w:rFonts w:hint="eastAsia" w:ascii="楷体_GB2312" w:eastAsia="楷体_GB2312"/>
          <w:sz w:val="28"/>
          <w:szCs w:val="28"/>
        </w:rPr>
      </w:pPr>
      <w:r>
        <w:rPr>
          <w:rFonts w:hint="eastAsia" w:ascii="楷体_GB2312" w:hAnsi="黑体" w:eastAsia="楷体_GB2312"/>
          <w:sz w:val="28"/>
          <w:szCs w:val="28"/>
        </w:rPr>
        <w:t>企业</w:t>
      </w:r>
      <w:r>
        <w:rPr>
          <w:rFonts w:hint="eastAsia" w:ascii="楷体_GB2312" w:eastAsia="楷体_GB2312"/>
          <w:sz w:val="28"/>
          <w:szCs w:val="28"/>
        </w:rPr>
        <w:t>线上申报流程</w:t>
      </w:r>
    </w:p>
    <w:p w14:paraId="6A8A005F">
      <w:pPr>
        <w:pStyle w:val="2"/>
        <w:ind w:firstLine="560" w:firstLineChars="200"/>
        <w:rPr>
          <w:rFonts w:hint="eastAsia"/>
          <w:sz w:val="28"/>
          <w:szCs w:val="28"/>
        </w:rPr>
      </w:pPr>
      <w:r>
        <w:rPr>
          <w:rFonts w:hint="eastAsia" w:ascii="仿宋" w:hAnsi="仿宋" w:eastAsia="仿宋" w:cs="仿宋"/>
          <w:sz w:val="28"/>
          <w:szCs w:val="28"/>
        </w:rPr>
        <w:t>企业登录社会保险管理信息系统（企业端），在社会保险模块下</w:t>
      </w:r>
      <w:r>
        <w:rPr>
          <w:rFonts w:ascii="仿宋" w:hAnsi="仿宋" w:eastAsia="仿宋" w:cs="仿宋"/>
          <w:sz w:val="28"/>
          <w:szCs w:val="28"/>
        </w:rPr>
        <w:t>→</w:t>
      </w:r>
      <w:r>
        <w:rPr>
          <w:rFonts w:hint="eastAsia" w:ascii="仿宋" w:hAnsi="仿宋" w:eastAsia="仿宋" w:cs="仿宋"/>
          <w:sz w:val="28"/>
          <w:szCs w:val="28"/>
        </w:rPr>
        <w:t>一次性扩岗补助，填写企业基本信息</w:t>
      </w:r>
      <w:r>
        <w:rPr>
          <w:rFonts w:ascii="仿宋" w:hAnsi="仿宋" w:eastAsia="仿宋" w:cs="仿宋"/>
          <w:sz w:val="28"/>
          <w:szCs w:val="28"/>
        </w:rPr>
        <w:t>→</w:t>
      </w:r>
      <w:r>
        <w:rPr>
          <w:rFonts w:hint="eastAsia" w:ascii="仿宋" w:hAnsi="仿宋" w:eastAsia="仿宋" w:cs="仿宋"/>
          <w:sz w:val="28"/>
          <w:szCs w:val="28"/>
        </w:rPr>
        <w:t>选择一次性扩岗补助申请人员并完善人员相关信息后，点击确认</w:t>
      </w:r>
      <w:r>
        <w:rPr>
          <w:rFonts w:ascii="仿宋" w:hAnsi="仿宋" w:eastAsia="仿宋" w:cs="仿宋"/>
          <w:sz w:val="28"/>
          <w:szCs w:val="28"/>
        </w:rPr>
        <w:t>→</w:t>
      </w:r>
      <w:r>
        <w:rPr>
          <w:rFonts w:hint="eastAsia" w:ascii="仿宋" w:hAnsi="仿宋" w:eastAsia="仿宋" w:cs="仿宋"/>
          <w:sz w:val="28"/>
          <w:szCs w:val="28"/>
        </w:rPr>
        <w:t>进入一次性扩岗补助申请扫描材料（含劳动合同关键页面、《申请一次性扩岗补助人员花名册》等申请材料）</w:t>
      </w:r>
      <w:r>
        <w:rPr>
          <w:rFonts w:ascii="仿宋" w:hAnsi="仿宋" w:eastAsia="仿宋" w:cs="仿宋"/>
          <w:sz w:val="28"/>
          <w:szCs w:val="28"/>
        </w:rPr>
        <w:t>→</w:t>
      </w:r>
      <w:r>
        <w:rPr>
          <w:rFonts w:hint="eastAsia" w:ascii="仿宋" w:hAnsi="仿宋" w:eastAsia="仿宋" w:cs="仿宋"/>
          <w:sz w:val="28"/>
          <w:szCs w:val="28"/>
        </w:rPr>
        <w:t>确认提交后，等待区县公共就业服务机构审批。（系统操作说明书见附件4）</w:t>
      </w:r>
    </w:p>
    <w:p w14:paraId="4C1D7FBD">
      <w:pPr>
        <w:adjustRightInd w:val="0"/>
        <w:snapToGrid w:val="0"/>
        <w:spacing w:line="592" w:lineRule="exact"/>
        <w:ind w:firstLine="560" w:firstLineChars="200"/>
        <w:rPr>
          <w:rFonts w:hint="eastAsia" w:ascii="楷体" w:hAnsi="楷体" w:eastAsia="楷体" w:cs="楷体"/>
          <w:sz w:val="28"/>
          <w:szCs w:val="28"/>
        </w:rPr>
      </w:pPr>
      <w:r>
        <w:rPr>
          <w:rFonts w:hint="eastAsia" w:ascii="楷体" w:hAnsi="楷体" w:eastAsia="楷体" w:cs="楷体"/>
          <w:sz w:val="28"/>
          <w:szCs w:val="28"/>
        </w:rPr>
        <w:t>（三）补助公示</w:t>
      </w:r>
    </w:p>
    <w:p w14:paraId="0DC204E6">
      <w:pPr>
        <w:adjustRightInd w:val="0"/>
        <w:snapToGrid w:val="0"/>
        <w:spacing w:line="592" w:lineRule="exact"/>
        <w:ind w:firstLine="560" w:firstLineChars="200"/>
        <w:rPr>
          <w:rFonts w:hint="eastAsia" w:ascii="楷体_GB2312" w:eastAsia="楷体_GB2312"/>
          <w:sz w:val="28"/>
          <w:szCs w:val="28"/>
        </w:rPr>
      </w:pPr>
      <w:r>
        <w:rPr>
          <w:rFonts w:hint="eastAsia" w:ascii="仿宋" w:hAnsi="仿宋" w:eastAsia="仿宋" w:cs="仿宋"/>
          <w:sz w:val="28"/>
          <w:szCs w:val="28"/>
        </w:rPr>
        <w:t>区县（功能区）公共就业服务机构在通过审核流程后，于一次性扩岗补助发放之前，进行不少于三个工作日的公示，无异议的，留存一次性扩岗补助发放公示（附件3）专账管理。</w:t>
      </w:r>
      <w:r>
        <w:rPr>
          <w:rFonts w:hint="eastAsia" w:ascii="楷体_GB2312" w:eastAsia="楷体_GB2312"/>
          <w:sz w:val="28"/>
          <w:szCs w:val="28"/>
        </w:rPr>
        <w:t xml:space="preserve"> </w:t>
      </w:r>
    </w:p>
    <w:p w14:paraId="48192EAA">
      <w:pPr>
        <w:adjustRightInd w:val="0"/>
        <w:snapToGrid w:val="0"/>
        <w:spacing w:line="592" w:lineRule="exact"/>
        <w:ind w:firstLine="560" w:firstLineChars="200"/>
        <w:rPr>
          <w:rFonts w:hint="eastAsia" w:ascii="楷体" w:hAnsi="楷体" w:eastAsia="楷体" w:cs="楷体"/>
          <w:sz w:val="28"/>
          <w:szCs w:val="28"/>
        </w:rPr>
      </w:pPr>
      <w:r>
        <w:rPr>
          <w:rFonts w:hint="eastAsia" w:ascii="楷体" w:hAnsi="楷体" w:eastAsia="楷体" w:cs="楷体"/>
          <w:sz w:val="28"/>
          <w:szCs w:val="28"/>
        </w:rPr>
        <w:t>（四）补助发放</w:t>
      </w:r>
    </w:p>
    <w:p w14:paraId="0A2EC026">
      <w:pPr>
        <w:adjustRightInd w:val="0"/>
        <w:snapToGrid w:val="0"/>
        <w:spacing w:line="592"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各区县（功能区）公共就业服务机构按规定通过“社银直连”将补助资金拨付到用人企业在银行开立的基本帐户，并保留好资金发放相关证明专账管理，对没有在银行开立的基本帐户的，可将资金发放至税务部门提供的该企业缴纳社会保险费账户。</w:t>
      </w:r>
    </w:p>
    <w:p w14:paraId="1D26D3CE">
      <w:pPr>
        <w:pStyle w:val="5"/>
        <w:shd w:val="clear" w:color="auto" w:fill="FFFFFF"/>
        <w:snapToGrid w:val="0"/>
        <w:spacing w:before="0" w:beforeAutospacing="0" w:after="0" w:afterAutospacing="0" w:line="560" w:lineRule="exact"/>
        <w:ind w:firstLine="560" w:firstLineChars="200"/>
        <w:jc w:val="both"/>
        <w:rPr>
          <w:rFonts w:hint="eastAsia" w:ascii="黑体" w:hAnsi="黑体" w:eastAsia="黑体"/>
          <w:sz w:val="28"/>
          <w:szCs w:val="28"/>
        </w:rPr>
      </w:pPr>
      <w:r>
        <w:rPr>
          <w:rFonts w:hint="eastAsia" w:ascii="黑体" w:hAnsi="黑体" w:eastAsia="黑体"/>
          <w:sz w:val="28"/>
          <w:szCs w:val="28"/>
        </w:rPr>
        <w:t>七、实施时限</w:t>
      </w:r>
    </w:p>
    <w:p w14:paraId="279432BA">
      <w:pPr>
        <w:adjustRightInd w:val="0"/>
        <w:snapToGrid w:val="0"/>
        <w:spacing w:line="592" w:lineRule="exact"/>
        <w:ind w:firstLine="560" w:firstLineChars="200"/>
        <w:rPr>
          <w:rFonts w:hint="eastAsia" w:ascii="仿宋" w:hAnsi="仿宋" w:eastAsia="仿宋" w:cs="仿宋"/>
          <w:sz w:val="28"/>
          <w:szCs w:val="28"/>
        </w:rPr>
      </w:pPr>
      <w:r>
        <w:rPr>
          <w:rFonts w:hint="eastAsia" w:ascii="仿宋" w:hAnsi="仿宋" w:eastAsia="仿宋" w:cs="仿宋"/>
          <w:sz w:val="28"/>
          <w:szCs w:val="28"/>
        </w:rPr>
        <w:t>一次性扩岗补助政策实施期限截至2025年12月31日。</w:t>
      </w:r>
    </w:p>
    <w:p w14:paraId="283198A3">
      <w:pPr>
        <w:pStyle w:val="5"/>
        <w:shd w:val="clear" w:color="auto" w:fill="FFFFFF"/>
        <w:snapToGrid w:val="0"/>
        <w:spacing w:before="0" w:beforeAutospacing="0" w:after="0" w:afterAutospacing="0" w:line="560" w:lineRule="exact"/>
        <w:ind w:firstLine="560" w:firstLineChars="200"/>
        <w:jc w:val="both"/>
        <w:rPr>
          <w:rFonts w:hint="eastAsia" w:ascii="黑体" w:hAnsi="黑体" w:eastAsia="黑体"/>
          <w:sz w:val="28"/>
          <w:szCs w:val="28"/>
        </w:rPr>
      </w:pPr>
      <w:r>
        <w:rPr>
          <w:rFonts w:hint="eastAsia" w:ascii="黑体" w:hAnsi="黑体" w:eastAsia="黑体"/>
          <w:sz w:val="28"/>
          <w:szCs w:val="28"/>
        </w:rPr>
        <w:t>八、受理区县电话</w:t>
      </w:r>
    </w:p>
    <w:p w14:paraId="631AA0BA">
      <w:pPr>
        <w:adjustRightInd w:val="0"/>
        <w:snapToGrid w:val="0"/>
        <w:spacing w:line="592" w:lineRule="exact"/>
        <w:ind w:firstLine="560" w:firstLineChars="200"/>
        <w:rPr>
          <w:rFonts w:hint="eastAsia" w:ascii="仿宋" w:hAnsi="仿宋" w:eastAsia="仿宋" w:cs="仿宋"/>
          <w:sz w:val="28"/>
          <w:szCs w:val="28"/>
          <w:lang w:eastAsia="zh-CN"/>
        </w:rPr>
      </w:pPr>
      <w:r>
        <w:rPr>
          <w:rFonts w:hint="eastAsia" w:ascii="仿宋" w:hAnsi="仿宋" w:eastAsia="仿宋" w:cs="仿宋"/>
          <w:sz w:val="28"/>
          <w:szCs w:val="28"/>
        </w:rPr>
        <w:t>章丘区83310991</w:t>
      </w:r>
      <w:r>
        <w:rPr>
          <w:rFonts w:hint="eastAsia" w:ascii="仿宋" w:hAnsi="仿宋" w:eastAsia="仿宋" w:cs="仿宋"/>
          <w:sz w:val="28"/>
          <w:szCs w:val="28"/>
          <w:lang w:eastAsia="zh-CN"/>
        </w:rPr>
        <w:t>。</w:t>
      </w:r>
    </w:p>
    <w:p w14:paraId="3D4CE99B">
      <w:pPr>
        <w:adjustRightInd w:val="0"/>
        <w:snapToGrid w:val="0"/>
        <w:spacing w:line="592" w:lineRule="exact"/>
        <w:ind w:firstLine="560" w:firstLineChars="200"/>
        <w:rPr>
          <w:rFonts w:hint="eastAsia" w:ascii="仿宋" w:hAnsi="仿宋" w:eastAsia="仿宋" w:cs="仿宋"/>
          <w:sz w:val="28"/>
          <w:szCs w:val="28"/>
          <w:lang w:eastAsia="zh-CN"/>
        </w:rPr>
      </w:pPr>
    </w:p>
    <w:p w14:paraId="0473F818">
      <w:pPr>
        <w:adjustRightInd w:val="0"/>
        <w:snapToGrid w:val="0"/>
        <w:spacing w:line="592" w:lineRule="exact"/>
        <w:ind w:firstLine="560" w:firstLineChars="200"/>
        <w:rPr>
          <w:rFonts w:hint="eastAsia" w:ascii="仿宋" w:hAnsi="仿宋" w:eastAsia="仿宋" w:cs="仿宋"/>
          <w:sz w:val="28"/>
          <w:szCs w:val="28"/>
          <w:lang w:eastAsia="zh-CN"/>
        </w:rPr>
      </w:pPr>
    </w:p>
    <w:p w14:paraId="62F7D304">
      <w:pPr>
        <w:adjustRightInd w:val="0"/>
        <w:snapToGrid w:val="0"/>
        <w:spacing w:line="592" w:lineRule="exact"/>
        <w:ind w:firstLine="560" w:firstLineChars="200"/>
        <w:rPr>
          <w:rFonts w:hint="eastAsia" w:ascii="仿宋" w:hAnsi="仿宋" w:eastAsia="仿宋" w:cs="仿宋"/>
          <w:sz w:val="28"/>
          <w:szCs w:val="28"/>
          <w:lang w:eastAsia="zh-CN"/>
        </w:rPr>
      </w:pPr>
    </w:p>
    <w:p w14:paraId="411D7FB6">
      <w:pPr>
        <w:adjustRightInd w:val="0"/>
        <w:snapToGrid w:val="0"/>
        <w:spacing w:line="592" w:lineRule="exact"/>
        <w:ind w:firstLine="560" w:firstLineChars="200"/>
        <w:rPr>
          <w:rFonts w:hint="eastAsia" w:ascii="仿宋" w:hAnsi="仿宋" w:eastAsia="仿宋" w:cs="仿宋"/>
          <w:sz w:val="28"/>
          <w:szCs w:val="28"/>
          <w:lang w:eastAsia="zh-CN"/>
        </w:rPr>
      </w:pPr>
    </w:p>
    <w:p w14:paraId="79DD5E14">
      <w:pPr>
        <w:adjustRightInd w:val="0"/>
        <w:snapToGrid w:val="0"/>
        <w:spacing w:line="592" w:lineRule="exact"/>
        <w:ind w:firstLine="560" w:firstLineChars="200"/>
        <w:rPr>
          <w:rFonts w:hint="eastAsia" w:ascii="仿宋" w:hAnsi="仿宋" w:eastAsia="仿宋" w:cs="仿宋"/>
          <w:sz w:val="28"/>
          <w:szCs w:val="28"/>
          <w:lang w:eastAsia="zh-CN"/>
        </w:rPr>
      </w:pPr>
    </w:p>
    <w:p w14:paraId="752C3418">
      <w:pPr>
        <w:adjustRightInd w:val="0"/>
        <w:snapToGrid w:val="0"/>
        <w:spacing w:line="592" w:lineRule="exact"/>
        <w:ind w:firstLine="560" w:firstLineChars="200"/>
        <w:rPr>
          <w:rFonts w:hint="eastAsia" w:ascii="仿宋" w:hAnsi="仿宋" w:eastAsia="仿宋" w:cs="仿宋"/>
          <w:sz w:val="28"/>
          <w:szCs w:val="28"/>
          <w:lang w:eastAsia="zh-CN"/>
        </w:rPr>
      </w:pPr>
    </w:p>
    <w:p w14:paraId="76044D27">
      <w:pPr>
        <w:adjustRightInd w:val="0"/>
        <w:snapToGrid w:val="0"/>
        <w:spacing w:line="592" w:lineRule="exact"/>
        <w:ind w:firstLine="560" w:firstLineChars="200"/>
        <w:rPr>
          <w:rFonts w:hint="eastAsia" w:ascii="仿宋" w:hAnsi="仿宋" w:eastAsia="仿宋" w:cs="仿宋"/>
          <w:sz w:val="28"/>
          <w:szCs w:val="28"/>
          <w:lang w:eastAsia="zh-CN"/>
        </w:rPr>
      </w:pPr>
    </w:p>
    <w:p w14:paraId="2089488E">
      <w:pPr>
        <w:adjustRightInd w:val="0"/>
        <w:snapToGrid w:val="0"/>
        <w:spacing w:line="592" w:lineRule="exact"/>
        <w:ind w:firstLine="560" w:firstLineChars="200"/>
        <w:rPr>
          <w:rFonts w:hint="eastAsia" w:ascii="仿宋" w:hAnsi="仿宋" w:eastAsia="仿宋" w:cs="仿宋"/>
          <w:sz w:val="28"/>
          <w:szCs w:val="28"/>
          <w:lang w:eastAsia="zh-CN"/>
        </w:rPr>
      </w:pPr>
    </w:p>
    <w:p w14:paraId="78C9C7CA">
      <w:pPr>
        <w:adjustRightInd w:val="0"/>
        <w:snapToGrid w:val="0"/>
        <w:spacing w:line="592" w:lineRule="exact"/>
        <w:ind w:firstLine="560" w:firstLineChars="200"/>
        <w:rPr>
          <w:rFonts w:hint="eastAsia" w:ascii="仿宋" w:hAnsi="仿宋" w:eastAsia="仿宋" w:cs="仿宋"/>
          <w:sz w:val="28"/>
          <w:szCs w:val="28"/>
          <w:lang w:eastAsia="zh-CN"/>
        </w:rPr>
      </w:pPr>
    </w:p>
    <w:p w14:paraId="6EB9848E">
      <w:pPr>
        <w:adjustRightInd w:val="0"/>
        <w:snapToGrid w:val="0"/>
        <w:spacing w:line="592" w:lineRule="exact"/>
        <w:ind w:firstLine="560" w:firstLineChars="200"/>
        <w:rPr>
          <w:rFonts w:hint="eastAsia" w:ascii="仿宋" w:hAnsi="仿宋" w:eastAsia="仿宋" w:cs="仿宋"/>
          <w:sz w:val="28"/>
          <w:szCs w:val="28"/>
          <w:lang w:eastAsia="zh-CN"/>
        </w:rPr>
      </w:pPr>
    </w:p>
    <w:p w14:paraId="48CF5C08">
      <w:pPr>
        <w:adjustRightInd w:val="0"/>
        <w:snapToGrid w:val="0"/>
        <w:spacing w:line="592" w:lineRule="exact"/>
        <w:ind w:firstLine="560" w:firstLineChars="200"/>
        <w:rPr>
          <w:rFonts w:hint="eastAsia" w:ascii="仿宋" w:hAnsi="仿宋" w:eastAsia="仿宋" w:cs="仿宋"/>
          <w:sz w:val="28"/>
          <w:szCs w:val="28"/>
          <w:lang w:eastAsia="zh-CN"/>
        </w:rPr>
      </w:pPr>
    </w:p>
    <w:p w14:paraId="20F34717">
      <w:pPr>
        <w:adjustRightInd w:val="0"/>
        <w:snapToGrid w:val="0"/>
        <w:spacing w:line="592" w:lineRule="exact"/>
        <w:ind w:firstLine="560" w:firstLineChars="200"/>
        <w:rPr>
          <w:rFonts w:hint="eastAsia" w:ascii="仿宋" w:hAnsi="仿宋" w:eastAsia="仿宋" w:cs="仿宋"/>
          <w:sz w:val="28"/>
          <w:szCs w:val="28"/>
          <w:lang w:eastAsia="zh-CN"/>
        </w:rPr>
      </w:pPr>
    </w:p>
    <w:p w14:paraId="7857AD87">
      <w:pPr>
        <w:adjustRightInd w:val="0"/>
        <w:snapToGrid w:val="0"/>
        <w:spacing w:line="592" w:lineRule="exact"/>
        <w:ind w:firstLine="560" w:firstLineChars="200"/>
        <w:rPr>
          <w:rFonts w:hint="eastAsia" w:ascii="仿宋" w:hAnsi="仿宋" w:eastAsia="仿宋" w:cs="仿宋"/>
          <w:sz w:val="28"/>
          <w:szCs w:val="28"/>
          <w:lang w:eastAsia="zh-CN"/>
        </w:rPr>
      </w:pPr>
    </w:p>
    <w:p w14:paraId="08A8C582">
      <w:pPr>
        <w:adjustRightInd w:val="0"/>
        <w:snapToGrid w:val="0"/>
        <w:spacing w:line="592" w:lineRule="exact"/>
        <w:ind w:firstLine="560" w:firstLineChars="200"/>
        <w:rPr>
          <w:rFonts w:hint="eastAsia" w:ascii="仿宋" w:hAnsi="仿宋" w:eastAsia="仿宋" w:cs="仿宋"/>
          <w:sz w:val="28"/>
          <w:szCs w:val="28"/>
          <w:lang w:eastAsia="zh-CN"/>
        </w:rPr>
      </w:pPr>
    </w:p>
    <w:p w14:paraId="6A45CD41">
      <w:pPr>
        <w:adjustRightInd w:val="0"/>
        <w:snapToGrid w:val="0"/>
        <w:spacing w:line="592" w:lineRule="exact"/>
        <w:ind w:firstLine="560" w:firstLineChars="200"/>
        <w:rPr>
          <w:rFonts w:hint="eastAsia" w:ascii="仿宋" w:hAnsi="仿宋" w:eastAsia="仿宋" w:cs="仿宋"/>
          <w:sz w:val="28"/>
          <w:szCs w:val="28"/>
          <w:lang w:eastAsia="zh-CN"/>
        </w:rPr>
      </w:pPr>
    </w:p>
    <w:p w14:paraId="07B74F6B">
      <w:pPr>
        <w:adjustRightInd w:val="0"/>
        <w:snapToGrid w:val="0"/>
        <w:spacing w:line="592" w:lineRule="exact"/>
        <w:ind w:firstLine="560" w:firstLineChars="200"/>
        <w:rPr>
          <w:rFonts w:hint="eastAsia" w:ascii="仿宋" w:hAnsi="仿宋" w:eastAsia="仿宋" w:cs="仿宋"/>
          <w:sz w:val="28"/>
          <w:szCs w:val="28"/>
          <w:lang w:eastAsia="zh-CN"/>
        </w:rPr>
      </w:pPr>
    </w:p>
    <w:p w14:paraId="30A1A964">
      <w:pPr>
        <w:spacing w:line="520" w:lineRule="exact"/>
        <w:jc w:val="left"/>
        <w:textAlignment w:val="center"/>
        <w:rPr>
          <w:rFonts w:hint="eastAsia" w:ascii="黑体" w:hAnsi="黑体" w:eastAsia="仿宋"/>
        </w:rPr>
      </w:pPr>
      <w:r>
        <w:rPr>
          <w:rFonts w:hint="eastAsia" w:ascii="仿宋" w:hAnsi="仿宋" w:eastAsia="仿宋" w:cs="仿宋"/>
          <w:sz w:val="30"/>
          <w:szCs w:val="30"/>
        </w:rPr>
        <w:t>附件1</w:t>
      </w:r>
    </w:p>
    <w:p w14:paraId="2A801391">
      <w:pPr>
        <w:spacing w:line="240" w:lineRule="exact"/>
        <w:jc w:val="left"/>
        <w:textAlignment w:val="center"/>
        <w:rPr>
          <w:rFonts w:ascii="黑体" w:hAnsi="黑体" w:eastAsia="黑体"/>
        </w:rPr>
      </w:pPr>
    </w:p>
    <w:p w14:paraId="6DFA45F8">
      <w:pPr>
        <w:spacing w:line="560" w:lineRule="exact"/>
        <w:jc w:val="center"/>
        <w:rPr>
          <w:rFonts w:hint="eastAsia" w:ascii="华文中宋" w:hAnsi="华文中宋" w:eastAsia="仿宋_GB2312"/>
          <w:bCs/>
          <w:color w:val="000000"/>
          <w:sz w:val="44"/>
          <w:szCs w:val="44"/>
        </w:rPr>
      </w:pPr>
      <w:r>
        <w:rPr>
          <w:rFonts w:hint="eastAsia" w:ascii="宋体" w:hAnsi="宋体"/>
          <w:b/>
          <w:color w:val="000000"/>
          <w:sz w:val="36"/>
          <w:szCs w:val="36"/>
        </w:rPr>
        <w:t>申领</w:t>
      </w:r>
      <w:r>
        <w:rPr>
          <w:rFonts w:ascii="宋体" w:hAnsi="宋体"/>
          <w:b/>
          <w:color w:val="000000"/>
          <w:sz w:val="36"/>
          <w:szCs w:val="36"/>
        </w:rPr>
        <w:t>一次性扩岗补助</w:t>
      </w:r>
      <w:r>
        <w:rPr>
          <w:rFonts w:hint="eastAsia" w:ascii="宋体" w:hAnsi="宋体"/>
          <w:b/>
          <w:color w:val="000000"/>
          <w:sz w:val="36"/>
          <w:szCs w:val="36"/>
        </w:rPr>
        <w:t>人员</w:t>
      </w:r>
      <w:r>
        <w:rPr>
          <w:rFonts w:ascii="宋体" w:hAnsi="宋体"/>
          <w:b/>
          <w:color w:val="000000"/>
          <w:sz w:val="36"/>
          <w:szCs w:val="36"/>
        </w:rPr>
        <w:t>花名册</w:t>
      </w:r>
    </w:p>
    <w:p w14:paraId="28783C39">
      <w:pPr>
        <w:spacing w:before="156" w:beforeLines="50"/>
        <w:ind w:firstLine="120" w:firstLineChars="50"/>
        <w:rPr>
          <w:rFonts w:ascii="宋体" w:hAnsi="宋体"/>
          <w:kern w:val="0"/>
          <w:sz w:val="24"/>
        </w:rPr>
      </w:pPr>
      <w:r>
        <w:rPr>
          <w:rFonts w:hint="eastAsia" w:ascii="宋体" w:hAnsi="宋体"/>
          <w:kern w:val="0"/>
          <w:sz w:val="24"/>
        </w:rPr>
        <w:t>单位名称（章）：                                 年   月   日</w:t>
      </w:r>
    </w:p>
    <w:tbl>
      <w:tblPr>
        <w:tblStyle w:val="6"/>
        <w:tblW w:w="92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2"/>
        <w:gridCol w:w="994"/>
        <w:gridCol w:w="1834"/>
        <w:gridCol w:w="1344"/>
        <w:gridCol w:w="2970"/>
        <w:gridCol w:w="1347"/>
      </w:tblGrid>
      <w:tr w14:paraId="30BEC3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3F3F710A">
            <w:pPr>
              <w:spacing w:line="280" w:lineRule="exact"/>
              <w:jc w:val="center"/>
              <w:rPr>
                <w:rFonts w:ascii="宋体" w:hAnsi="宋体"/>
                <w:sz w:val="24"/>
              </w:rPr>
            </w:pPr>
            <w:r>
              <w:rPr>
                <w:rFonts w:hint="eastAsia" w:ascii="宋体" w:hAnsi="宋体"/>
                <w:sz w:val="24"/>
              </w:rPr>
              <w:t>序号</w:t>
            </w:r>
          </w:p>
        </w:tc>
        <w:tc>
          <w:tcPr>
            <w:tcW w:w="994" w:type="dxa"/>
            <w:tcBorders>
              <w:top w:val="single" w:color="auto" w:sz="4" w:space="0"/>
              <w:left w:val="single" w:color="auto" w:sz="4" w:space="0"/>
              <w:bottom w:val="single" w:color="auto" w:sz="4" w:space="0"/>
              <w:right w:val="single" w:color="auto" w:sz="4" w:space="0"/>
            </w:tcBorders>
            <w:noWrap w:val="0"/>
            <w:vAlign w:val="center"/>
          </w:tcPr>
          <w:p w14:paraId="7762970C">
            <w:pPr>
              <w:spacing w:line="280" w:lineRule="exact"/>
              <w:jc w:val="center"/>
              <w:rPr>
                <w:rFonts w:ascii="宋体" w:hAnsi="宋体"/>
                <w:sz w:val="24"/>
              </w:rPr>
            </w:pPr>
            <w:r>
              <w:rPr>
                <w:rFonts w:hint="eastAsia" w:ascii="宋体" w:hAnsi="宋体"/>
                <w:sz w:val="24"/>
              </w:rPr>
              <w:t>毕业生姓 名</w:t>
            </w:r>
          </w:p>
        </w:tc>
        <w:tc>
          <w:tcPr>
            <w:tcW w:w="1834" w:type="dxa"/>
            <w:tcBorders>
              <w:top w:val="single" w:color="auto" w:sz="4" w:space="0"/>
              <w:left w:val="single" w:color="auto" w:sz="4" w:space="0"/>
              <w:bottom w:val="single" w:color="auto" w:sz="4" w:space="0"/>
              <w:right w:val="single" w:color="auto" w:sz="4" w:space="0"/>
            </w:tcBorders>
            <w:noWrap w:val="0"/>
            <w:vAlign w:val="center"/>
          </w:tcPr>
          <w:p w14:paraId="3D7C118C">
            <w:pPr>
              <w:spacing w:line="280" w:lineRule="exact"/>
              <w:jc w:val="center"/>
              <w:rPr>
                <w:rFonts w:hint="eastAsia" w:ascii="宋体" w:hAnsi="宋体"/>
                <w:sz w:val="24"/>
              </w:rPr>
            </w:pPr>
            <w:r>
              <w:rPr>
                <w:rFonts w:hint="eastAsia" w:ascii="宋体" w:hAnsi="宋体"/>
                <w:sz w:val="24"/>
              </w:rPr>
              <w:t>身份证号码</w:t>
            </w:r>
          </w:p>
        </w:tc>
        <w:tc>
          <w:tcPr>
            <w:tcW w:w="1344" w:type="dxa"/>
            <w:tcBorders>
              <w:top w:val="single" w:color="auto" w:sz="4" w:space="0"/>
              <w:left w:val="single" w:color="auto" w:sz="4" w:space="0"/>
              <w:bottom w:val="single" w:color="auto" w:sz="4" w:space="0"/>
              <w:right w:val="single" w:color="auto" w:sz="4" w:space="0"/>
            </w:tcBorders>
            <w:noWrap w:val="0"/>
            <w:vAlign w:val="center"/>
          </w:tcPr>
          <w:p w14:paraId="54E031D1">
            <w:pPr>
              <w:spacing w:line="280" w:lineRule="exact"/>
              <w:jc w:val="center"/>
              <w:rPr>
                <w:rFonts w:ascii="宋体" w:hAnsi="宋体"/>
                <w:sz w:val="24"/>
              </w:rPr>
            </w:pPr>
            <w:r>
              <w:rPr>
                <w:rFonts w:hint="eastAsia" w:ascii="宋体" w:hAnsi="宋体"/>
                <w:sz w:val="24"/>
              </w:rPr>
              <w:t>毕业时间</w:t>
            </w:r>
          </w:p>
        </w:tc>
        <w:tc>
          <w:tcPr>
            <w:tcW w:w="2970" w:type="dxa"/>
            <w:tcBorders>
              <w:top w:val="single" w:color="auto" w:sz="4" w:space="0"/>
              <w:left w:val="single" w:color="auto" w:sz="4" w:space="0"/>
              <w:bottom w:val="single" w:color="auto" w:sz="4" w:space="0"/>
              <w:right w:val="single" w:color="auto" w:sz="4" w:space="0"/>
            </w:tcBorders>
            <w:noWrap w:val="0"/>
            <w:vAlign w:val="center"/>
          </w:tcPr>
          <w:p w14:paraId="74DA5CA3">
            <w:pPr>
              <w:spacing w:line="280" w:lineRule="exact"/>
              <w:jc w:val="center"/>
              <w:rPr>
                <w:rFonts w:ascii="宋体" w:hAnsi="宋体"/>
                <w:sz w:val="24"/>
              </w:rPr>
            </w:pPr>
            <w:r>
              <w:rPr>
                <w:rFonts w:hint="eastAsia" w:ascii="宋体" w:hAnsi="宋体"/>
                <w:sz w:val="24"/>
              </w:rPr>
              <w:t>劳动合同起止时间</w:t>
            </w:r>
          </w:p>
        </w:tc>
        <w:tc>
          <w:tcPr>
            <w:tcW w:w="1347" w:type="dxa"/>
            <w:tcBorders>
              <w:top w:val="single" w:color="auto" w:sz="4" w:space="0"/>
              <w:left w:val="single" w:color="auto" w:sz="4" w:space="0"/>
              <w:bottom w:val="single" w:color="auto" w:sz="4" w:space="0"/>
              <w:right w:val="single" w:color="auto" w:sz="4" w:space="0"/>
            </w:tcBorders>
            <w:noWrap w:val="0"/>
            <w:vAlign w:val="center"/>
          </w:tcPr>
          <w:p w14:paraId="67389694">
            <w:pPr>
              <w:spacing w:line="280" w:lineRule="exact"/>
              <w:jc w:val="center"/>
              <w:rPr>
                <w:rFonts w:ascii="宋体" w:hAnsi="宋体"/>
                <w:sz w:val="24"/>
              </w:rPr>
            </w:pPr>
            <w:r>
              <w:rPr>
                <w:rFonts w:hint="eastAsia" w:ascii="宋体" w:hAnsi="宋体"/>
                <w:sz w:val="24"/>
              </w:rPr>
              <w:t>联系电话</w:t>
            </w:r>
          </w:p>
        </w:tc>
      </w:tr>
      <w:tr w14:paraId="54499D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7A09E504">
            <w:pPr>
              <w:spacing w:line="280" w:lineRule="exact"/>
              <w:jc w:val="center"/>
              <w:rPr>
                <w:rFonts w:ascii="宋体" w:hAnsi="宋体" w:cs="仿宋"/>
                <w:sz w:val="24"/>
              </w:rPr>
            </w:pPr>
            <w:r>
              <w:rPr>
                <w:rFonts w:hint="eastAsia" w:ascii="宋体" w:hAnsi="宋体" w:cs="仿宋"/>
                <w:sz w:val="24"/>
              </w:rPr>
              <w:t>1</w:t>
            </w:r>
          </w:p>
        </w:tc>
        <w:tc>
          <w:tcPr>
            <w:tcW w:w="994" w:type="dxa"/>
            <w:tcBorders>
              <w:top w:val="single" w:color="auto" w:sz="4" w:space="0"/>
              <w:left w:val="single" w:color="auto" w:sz="4" w:space="0"/>
              <w:bottom w:val="single" w:color="auto" w:sz="4" w:space="0"/>
              <w:right w:val="single" w:color="auto" w:sz="4" w:space="0"/>
            </w:tcBorders>
            <w:noWrap w:val="0"/>
            <w:vAlign w:val="center"/>
          </w:tcPr>
          <w:p w14:paraId="7BD8F66A">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5ED0B430">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0D893A9D">
            <w:pPr>
              <w:spacing w:line="280" w:lineRule="exact"/>
              <w:rPr>
                <w:rFonts w:ascii="宋体" w:hAnsi="宋体" w:cs="仿宋"/>
                <w:szCs w:val="21"/>
              </w:rPr>
            </w:pPr>
            <w:r>
              <w:rPr>
                <w:rFonts w:hint="eastAsia" w:ascii="宋体" w:hAnsi="宋体" w:cs="仿宋"/>
                <w:szCs w:val="21"/>
              </w:rPr>
              <w:t xml:space="preserve">   年  月</w:t>
            </w:r>
          </w:p>
        </w:tc>
        <w:tc>
          <w:tcPr>
            <w:tcW w:w="2970" w:type="dxa"/>
            <w:tcBorders>
              <w:top w:val="single" w:color="auto" w:sz="4" w:space="0"/>
              <w:left w:val="single" w:color="auto" w:sz="4" w:space="0"/>
              <w:bottom w:val="single" w:color="auto" w:sz="4" w:space="0"/>
              <w:right w:val="single" w:color="auto" w:sz="4" w:space="0"/>
            </w:tcBorders>
            <w:noWrap w:val="0"/>
            <w:vAlign w:val="center"/>
          </w:tcPr>
          <w:p w14:paraId="729165B3">
            <w:pPr>
              <w:spacing w:line="280" w:lineRule="exact"/>
              <w:ind w:firstLine="210" w:firstLineChars="100"/>
              <w:jc w:val="left"/>
              <w:rPr>
                <w:rFonts w:ascii="宋体" w:hAnsi="宋体" w:cs="仿宋"/>
                <w:szCs w:val="21"/>
              </w:rPr>
            </w:pPr>
            <w:r>
              <w:rPr>
                <w:rFonts w:hint="eastAsia" w:ascii="宋体" w:hAnsi="宋体" w:cs="仿宋"/>
                <w:szCs w:val="21"/>
              </w:rPr>
              <w:t>年  月  日至  年 月 日</w:t>
            </w:r>
          </w:p>
        </w:tc>
        <w:tc>
          <w:tcPr>
            <w:tcW w:w="1347" w:type="dxa"/>
            <w:tcBorders>
              <w:top w:val="single" w:color="auto" w:sz="4" w:space="0"/>
              <w:left w:val="single" w:color="auto" w:sz="4" w:space="0"/>
              <w:bottom w:val="single" w:color="auto" w:sz="4" w:space="0"/>
              <w:right w:val="single" w:color="auto" w:sz="4" w:space="0"/>
            </w:tcBorders>
            <w:noWrap w:val="0"/>
            <w:vAlign w:val="center"/>
          </w:tcPr>
          <w:p w14:paraId="52BC37B3">
            <w:pPr>
              <w:spacing w:line="280" w:lineRule="exact"/>
              <w:jc w:val="center"/>
              <w:rPr>
                <w:rFonts w:ascii="宋体" w:hAnsi="宋体" w:cs="仿宋"/>
                <w:szCs w:val="21"/>
              </w:rPr>
            </w:pPr>
          </w:p>
        </w:tc>
      </w:tr>
      <w:tr w14:paraId="4D8937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502D34A5">
            <w:pPr>
              <w:spacing w:line="280" w:lineRule="exact"/>
              <w:jc w:val="center"/>
              <w:rPr>
                <w:rFonts w:ascii="宋体" w:hAnsi="宋体" w:cs="仿宋"/>
                <w:sz w:val="24"/>
              </w:rPr>
            </w:pPr>
            <w:r>
              <w:rPr>
                <w:rFonts w:hint="eastAsia" w:ascii="宋体" w:hAnsi="宋体" w:cs="仿宋"/>
                <w:sz w:val="24"/>
              </w:rPr>
              <w:t>2</w:t>
            </w:r>
          </w:p>
        </w:tc>
        <w:tc>
          <w:tcPr>
            <w:tcW w:w="994" w:type="dxa"/>
            <w:tcBorders>
              <w:top w:val="single" w:color="auto" w:sz="4" w:space="0"/>
              <w:left w:val="single" w:color="auto" w:sz="4" w:space="0"/>
              <w:bottom w:val="single" w:color="auto" w:sz="4" w:space="0"/>
              <w:right w:val="single" w:color="auto" w:sz="4" w:space="0"/>
            </w:tcBorders>
            <w:noWrap w:val="0"/>
            <w:vAlign w:val="center"/>
          </w:tcPr>
          <w:p w14:paraId="14BC7889">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69C02881">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3BA7706C">
            <w:pPr>
              <w:spacing w:line="280" w:lineRule="exact"/>
              <w:jc w:val="center"/>
              <w:rPr>
                <w:rFonts w:ascii="宋体" w:hAnsi="宋体" w:cs="仿宋"/>
                <w:szCs w:val="21"/>
              </w:rPr>
            </w:pPr>
          </w:p>
        </w:tc>
        <w:tc>
          <w:tcPr>
            <w:tcW w:w="2970" w:type="dxa"/>
            <w:tcBorders>
              <w:top w:val="single" w:color="auto" w:sz="4" w:space="0"/>
              <w:left w:val="single" w:color="auto" w:sz="4" w:space="0"/>
              <w:bottom w:val="single" w:color="auto" w:sz="4" w:space="0"/>
              <w:right w:val="single" w:color="auto" w:sz="4" w:space="0"/>
            </w:tcBorders>
            <w:noWrap w:val="0"/>
            <w:vAlign w:val="center"/>
          </w:tcPr>
          <w:p w14:paraId="7CEAA0BC">
            <w:pPr>
              <w:spacing w:line="280" w:lineRule="exact"/>
              <w:jc w:val="center"/>
              <w:rPr>
                <w:rFonts w:ascii="宋体" w:hAnsi="宋体" w:cs="仿宋"/>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528AFBF1">
            <w:pPr>
              <w:spacing w:line="280" w:lineRule="exact"/>
              <w:jc w:val="center"/>
              <w:rPr>
                <w:rFonts w:ascii="宋体" w:hAnsi="宋体" w:cs="仿宋"/>
                <w:szCs w:val="21"/>
              </w:rPr>
            </w:pPr>
          </w:p>
        </w:tc>
      </w:tr>
      <w:tr w14:paraId="625FA9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0D38A19D">
            <w:pPr>
              <w:spacing w:line="280" w:lineRule="exact"/>
              <w:jc w:val="center"/>
              <w:rPr>
                <w:rFonts w:ascii="宋体" w:hAnsi="宋体" w:cs="仿宋"/>
                <w:sz w:val="24"/>
              </w:rPr>
            </w:pPr>
            <w:r>
              <w:rPr>
                <w:rFonts w:hint="eastAsia" w:ascii="宋体" w:hAnsi="宋体" w:cs="仿宋"/>
                <w:sz w:val="24"/>
              </w:rPr>
              <w:t>3</w:t>
            </w:r>
          </w:p>
        </w:tc>
        <w:tc>
          <w:tcPr>
            <w:tcW w:w="994" w:type="dxa"/>
            <w:tcBorders>
              <w:top w:val="single" w:color="auto" w:sz="4" w:space="0"/>
              <w:left w:val="single" w:color="auto" w:sz="4" w:space="0"/>
              <w:bottom w:val="single" w:color="auto" w:sz="4" w:space="0"/>
              <w:right w:val="single" w:color="auto" w:sz="4" w:space="0"/>
            </w:tcBorders>
            <w:noWrap w:val="0"/>
            <w:vAlign w:val="center"/>
          </w:tcPr>
          <w:p w14:paraId="6FBD7B33">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43BE9703">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4C6E231">
            <w:pPr>
              <w:spacing w:line="280" w:lineRule="exact"/>
              <w:jc w:val="center"/>
              <w:rPr>
                <w:rFonts w:ascii="宋体" w:hAnsi="宋体" w:cs="仿宋"/>
                <w:szCs w:val="21"/>
              </w:rPr>
            </w:pPr>
          </w:p>
        </w:tc>
        <w:tc>
          <w:tcPr>
            <w:tcW w:w="2970" w:type="dxa"/>
            <w:tcBorders>
              <w:top w:val="single" w:color="auto" w:sz="4" w:space="0"/>
              <w:left w:val="single" w:color="auto" w:sz="4" w:space="0"/>
              <w:bottom w:val="single" w:color="auto" w:sz="4" w:space="0"/>
              <w:right w:val="single" w:color="auto" w:sz="4" w:space="0"/>
            </w:tcBorders>
            <w:noWrap w:val="0"/>
            <w:vAlign w:val="center"/>
          </w:tcPr>
          <w:p w14:paraId="7163149B">
            <w:pPr>
              <w:spacing w:line="280" w:lineRule="exact"/>
              <w:jc w:val="center"/>
              <w:rPr>
                <w:rFonts w:ascii="宋体" w:hAnsi="宋体" w:cs="仿宋"/>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1B6496DF">
            <w:pPr>
              <w:spacing w:line="280" w:lineRule="exact"/>
              <w:jc w:val="center"/>
              <w:rPr>
                <w:rFonts w:ascii="宋体" w:hAnsi="宋体" w:cs="仿宋"/>
                <w:szCs w:val="21"/>
              </w:rPr>
            </w:pPr>
          </w:p>
        </w:tc>
      </w:tr>
      <w:tr w14:paraId="4A35D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000CE6B2">
            <w:pPr>
              <w:spacing w:line="280" w:lineRule="exact"/>
              <w:jc w:val="center"/>
              <w:rPr>
                <w:rFonts w:ascii="宋体" w:hAnsi="宋体" w:cs="仿宋"/>
                <w:sz w:val="24"/>
              </w:rPr>
            </w:pPr>
            <w:r>
              <w:rPr>
                <w:rFonts w:hint="eastAsia" w:ascii="宋体" w:hAnsi="宋体" w:cs="仿宋"/>
                <w:sz w:val="24"/>
              </w:rPr>
              <w:t>...</w:t>
            </w:r>
          </w:p>
        </w:tc>
        <w:tc>
          <w:tcPr>
            <w:tcW w:w="994" w:type="dxa"/>
            <w:tcBorders>
              <w:top w:val="single" w:color="auto" w:sz="4" w:space="0"/>
              <w:left w:val="single" w:color="auto" w:sz="4" w:space="0"/>
              <w:bottom w:val="single" w:color="auto" w:sz="4" w:space="0"/>
              <w:right w:val="single" w:color="auto" w:sz="4" w:space="0"/>
            </w:tcBorders>
            <w:noWrap w:val="0"/>
            <w:vAlign w:val="center"/>
          </w:tcPr>
          <w:p w14:paraId="32823CD0">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05087307">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3853B07">
            <w:pPr>
              <w:spacing w:line="280" w:lineRule="exact"/>
              <w:jc w:val="center"/>
              <w:rPr>
                <w:rFonts w:ascii="宋体" w:hAnsi="宋体" w:cs="仿宋"/>
                <w:szCs w:val="21"/>
              </w:rPr>
            </w:pPr>
          </w:p>
        </w:tc>
        <w:tc>
          <w:tcPr>
            <w:tcW w:w="2970" w:type="dxa"/>
            <w:tcBorders>
              <w:top w:val="single" w:color="auto" w:sz="4" w:space="0"/>
              <w:left w:val="single" w:color="auto" w:sz="4" w:space="0"/>
              <w:bottom w:val="single" w:color="auto" w:sz="4" w:space="0"/>
              <w:right w:val="single" w:color="auto" w:sz="4" w:space="0"/>
            </w:tcBorders>
            <w:noWrap w:val="0"/>
            <w:vAlign w:val="center"/>
          </w:tcPr>
          <w:p w14:paraId="770FD605">
            <w:pPr>
              <w:spacing w:line="280" w:lineRule="exact"/>
              <w:jc w:val="center"/>
              <w:rPr>
                <w:rFonts w:ascii="宋体" w:hAnsi="宋体" w:cs="仿宋"/>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07C55A8C">
            <w:pPr>
              <w:spacing w:line="280" w:lineRule="exact"/>
              <w:jc w:val="center"/>
              <w:rPr>
                <w:rFonts w:ascii="宋体" w:hAnsi="宋体" w:cs="仿宋"/>
                <w:szCs w:val="21"/>
              </w:rPr>
            </w:pPr>
          </w:p>
        </w:tc>
      </w:tr>
      <w:tr w14:paraId="76DC57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39DD6A93">
            <w:pPr>
              <w:spacing w:line="280" w:lineRule="exact"/>
              <w:jc w:val="center"/>
              <w:rPr>
                <w:rFonts w:ascii="宋体" w:hAnsi="宋体" w:cs="仿宋"/>
                <w:sz w:val="24"/>
              </w:rPr>
            </w:pPr>
          </w:p>
        </w:tc>
        <w:tc>
          <w:tcPr>
            <w:tcW w:w="994" w:type="dxa"/>
            <w:tcBorders>
              <w:top w:val="single" w:color="auto" w:sz="4" w:space="0"/>
              <w:left w:val="single" w:color="auto" w:sz="4" w:space="0"/>
              <w:bottom w:val="single" w:color="auto" w:sz="4" w:space="0"/>
              <w:right w:val="single" w:color="auto" w:sz="4" w:space="0"/>
            </w:tcBorders>
            <w:noWrap w:val="0"/>
            <w:vAlign w:val="center"/>
          </w:tcPr>
          <w:p w14:paraId="385D5936">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731240EF">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70C388DC">
            <w:pPr>
              <w:spacing w:line="280" w:lineRule="exact"/>
              <w:jc w:val="center"/>
              <w:rPr>
                <w:rFonts w:ascii="宋体" w:hAnsi="宋体" w:cs="仿宋"/>
                <w:szCs w:val="21"/>
              </w:rPr>
            </w:pPr>
          </w:p>
        </w:tc>
        <w:tc>
          <w:tcPr>
            <w:tcW w:w="2970" w:type="dxa"/>
            <w:tcBorders>
              <w:top w:val="single" w:color="auto" w:sz="4" w:space="0"/>
              <w:left w:val="single" w:color="auto" w:sz="4" w:space="0"/>
              <w:bottom w:val="single" w:color="auto" w:sz="4" w:space="0"/>
              <w:right w:val="single" w:color="auto" w:sz="4" w:space="0"/>
            </w:tcBorders>
            <w:noWrap w:val="0"/>
            <w:vAlign w:val="center"/>
          </w:tcPr>
          <w:p w14:paraId="0D82DD8E">
            <w:pPr>
              <w:spacing w:line="280" w:lineRule="exact"/>
              <w:jc w:val="center"/>
              <w:rPr>
                <w:rFonts w:ascii="宋体" w:hAnsi="宋体" w:cs="仿宋"/>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6E96B3CC">
            <w:pPr>
              <w:spacing w:line="280" w:lineRule="exact"/>
              <w:jc w:val="center"/>
              <w:rPr>
                <w:rFonts w:ascii="宋体" w:hAnsi="宋体" w:cs="仿宋"/>
                <w:szCs w:val="21"/>
              </w:rPr>
            </w:pPr>
          </w:p>
        </w:tc>
      </w:tr>
      <w:tr w14:paraId="62353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66A2368F">
            <w:pPr>
              <w:spacing w:line="280" w:lineRule="exact"/>
              <w:jc w:val="center"/>
              <w:rPr>
                <w:rFonts w:ascii="宋体" w:hAnsi="宋体" w:cs="仿宋"/>
                <w:sz w:val="24"/>
              </w:rPr>
            </w:pPr>
          </w:p>
        </w:tc>
        <w:tc>
          <w:tcPr>
            <w:tcW w:w="994" w:type="dxa"/>
            <w:tcBorders>
              <w:top w:val="single" w:color="auto" w:sz="4" w:space="0"/>
              <w:left w:val="single" w:color="auto" w:sz="4" w:space="0"/>
              <w:bottom w:val="single" w:color="auto" w:sz="4" w:space="0"/>
              <w:right w:val="single" w:color="auto" w:sz="4" w:space="0"/>
            </w:tcBorders>
            <w:noWrap w:val="0"/>
            <w:vAlign w:val="center"/>
          </w:tcPr>
          <w:p w14:paraId="0C0495EB">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5FD381C7">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5AC08D94">
            <w:pPr>
              <w:spacing w:line="280" w:lineRule="exact"/>
              <w:jc w:val="center"/>
              <w:rPr>
                <w:rFonts w:ascii="宋体" w:hAnsi="宋体" w:cs="仿宋"/>
                <w:szCs w:val="21"/>
              </w:rPr>
            </w:pPr>
          </w:p>
        </w:tc>
        <w:tc>
          <w:tcPr>
            <w:tcW w:w="2970" w:type="dxa"/>
            <w:tcBorders>
              <w:top w:val="single" w:color="auto" w:sz="4" w:space="0"/>
              <w:left w:val="single" w:color="auto" w:sz="4" w:space="0"/>
              <w:bottom w:val="single" w:color="auto" w:sz="4" w:space="0"/>
              <w:right w:val="single" w:color="auto" w:sz="4" w:space="0"/>
            </w:tcBorders>
            <w:noWrap w:val="0"/>
            <w:vAlign w:val="center"/>
          </w:tcPr>
          <w:p w14:paraId="26EE705C">
            <w:pPr>
              <w:spacing w:line="280" w:lineRule="exact"/>
              <w:jc w:val="center"/>
              <w:rPr>
                <w:rFonts w:ascii="宋体" w:hAnsi="宋体" w:cs="仿宋"/>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2D641991">
            <w:pPr>
              <w:spacing w:line="280" w:lineRule="exact"/>
              <w:jc w:val="center"/>
              <w:rPr>
                <w:rFonts w:ascii="宋体" w:hAnsi="宋体" w:cs="仿宋"/>
                <w:szCs w:val="21"/>
              </w:rPr>
            </w:pPr>
          </w:p>
        </w:tc>
      </w:tr>
      <w:tr w14:paraId="2FAF6C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4409405F">
            <w:pPr>
              <w:spacing w:line="280" w:lineRule="exact"/>
              <w:jc w:val="center"/>
              <w:rPr>
                <w:rFonts w:ascii="宋体" w:hAnsi="宋体" w:cs="仿宋"/>
                <w:sz w:val="24"/>
              </w:rPr>
            </w:pPr>
          </w:p>
        </w:tc>
        <w:tc>
          <w:tcPr>
            <w:tcW w:w="994" w:type="dxa"/>
            <w:tcBorders>
              <w:top w:val="single" w:color="auto" w:sz="4" w:space="0"/>
              <w:left w:val="single" w:color="auto" w:sz="4" w:space="0"/>
              <w:bottom w:val="single" w:color="auto" w:sz="4" w:space="0"/>
              <w:right w:val="single" w:color="auto" w:sz="4" w:space="0"/>
            </w:tcBorders>
            <w:noWrap w:val="0"/>
            <w:vAlign w:val="center"/>
          </w:tcPr>
          <w:p w14:paraId="40F4C5B1">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77BA5A8F">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68ABC40">
            <w:pPr>
              <w:spacing w:line="280" w:lineRule="exact"/>
              <w:jc w:val="center"/>
              <w:rPr>
                <w:rFonts w:ascii="宋体" w:hAnsi="宋体" w:cs="仿宋"/>
                <w:szCs w:val="21"/>
              </w:rPr>
            </w:pPr>
          </w:p>
        </w:tc>
        <w:tc>
          <w:tcPr>
            <w:tcW w:w="2970" w:type="dxa"/>
            <w:tcBorders>
              <w:top w:val="single" w:color="auto" w:sz="4" w:space="0"/>
              <w:left w:val="single" w:color="auto" w:sz="4" w:space="0"/>
              <w:bottom w:val="single" w:color="auto" w:sz="4" w:space="0"/>
              <w:right w:val="single" w:color="auto" w:sz="4" w:space="0"/>
            </w:tcBorders>
            <w:noWrap w:val="0"/>
            <w:vAlign w:val="center"/>
          </w:tcPr>
          <w:p w14:paraId="4C2DEE24">
            <w:pPr>
              <w:spacing w:line="280" w:lineRule="exact"/>
              <w:jc w:val="center"/>
              <w:rPr>
                <w:rFonts w:ascii="宋体" w:hAnsi="宋体" w:cs="仿宋"/>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791C236E">
            <w:pPr>
              <w:spacing w:line="280" w:lineRule="exact"/>
              <w:jc w:val="center"/>
              <w:rPr>
                <w:rFonts w:ascii="宋体" w:hAnsi="宋体" w:cs="仿宋"/>
                <w:szCs w:val="21"/>
              </w:rPr>
            </w:pPr>
          </w:p>
        </w:tc>
      </w:tr>
      <w:tr w14:paraId="3CF195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483BF0C1">
            <w:pPr>
              <w:spacing w:line="280" w:lineRule="exact"/>
              <w:jc w:val="center"/>
              <w:rPr>
                <w:rFonts w:ascii="宋体" w:hAnsi="宋体" w:cs="仿宋"/>
                <w:sz w:val="24"/>
              </w:rPr>
            </w:pPr>
          </w:p>
        </w:tc>
        <w:tc>
          <w:tcPr>
            <w:tcW w:w="994" w:type="dxa"/>
            <w:tcBorders>
              <w:top w:val="single" w:color="auto" w:sz="4" w:space="0"/>
              <w:left w:val="single" w:color="auto" w:sz="4" w:space="0"/>
              <w:bottom w:val="single" w:color="auto" w:sz="4" w:space="0"/>
              <w:right w:val="single" w:color="auto" w:sz="4" w:space="0"/>
            </w:tcBorders>
            <w:noWrap w:val="0"/>
            <w:vAlign w:val="center"/>
          </w:tcPr>
          <w:p w14:paraId="1BC8C466">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090EE803">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4058F31D">
            <w:pPr>
              <w:spacing w:line="280" w:lineRule="exact"/>
              <w:jc w:val="center"/>
              <w:rPr>
                <w:rFonts w:ascii="宋体" w:hAnsi="宋体" w:cs="仿宋"/>
                <w:szCs w:val="21"/>
              </w:rPr>
            </w:pPr>
          </w:p>
        </w:tc>
        <w:tc>
          <w:tcPr>
            <w:tcW w:w="2970" w:type="dxa"/>
            <w:tcBorders>
              <w:top w:val="single" w:color="auto" w:sz="4" w:space="0"/>
              <w:left w:val="single" w:color="auto" w:sz="4" w:space="0"/>
              <w:bottom w:val="single" w:color="auto" w:sz="4" w:space="0"/>
              <w:right w:val="single" w:color="auto" w:sz="4" w:space="0"/>
            </w:tcBorders>
            <w:noWrap w:val="0"/>
            <w:vAlign w:val="center"/>
          </w:tcPr>
          <w:p w14:paraId="19EBBFFE">
            <w:pPr>
              <w:spacing w:line="280" w:lineRule="exact"/>
              <w:jc w:val="center"/>
              <w:rPr>
                <w:rFonts w:ascii="宋体" w:hAnsi="宋体" w:cs="仿宋"/>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281602DA">
            <w:pPr>
              <w:spacing w:line="280" w:lineRule="exact"/>
              <w:jc w:val="center"/>
              <w:rPr>
                <w:rFonts w:ascii="宋体" w:hAnsi="宋体" w:cs="仿宋"/>
                <w:szCs w:val="21"/>
              </w:rPr>
            </w:pPr>
          </w:p>
        </w:tc>
      </w:tr>
      <w:tr w14:paraId="6749B5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1"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570D3FF0">
            <w:pPr>
              <w:spacing w:line="280" w:lineRule="exact"/>
              <w:jc w:val="center"/>
              <w:rPr>
                <w:rFonts w:ascii="宋体" w:hAnsi="宋体" w:cs="仿宋"/>
                <w:sz w:val="24"/>
              </w:rPr>
            </w:pPr>
          </w:p>
        </w:tc>
        <w:tc>
          <w:tcPr>
            <w:tcW w:w="994" w:type="dxa"/>
            <w:tcBorders>
              <w:top w:val="single" w:color="auto" w:sz="4" w:space="0"/>
              <w:left w:val="single" w:color="auto" w:sz="4" w:space="0"/>
              <w:bottom w:val="single" w:color="auto" w:sz="4" w:space="0"/>
              <w:right w:val="single" w:color="auto" w:sz="4" w:space="0"/>
            </w:tcBorders>
            <w:noWrap w:val="0"/>
            <w:vAlign w:val="center"/>
          </w:tcPr>
          <w:p w14:paraId="6583DDF9">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4547BE5E">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2D015009">
            <w:pPr>
              <w:spacing w:line="280" w:lineRule="exact"/>
              <w:jc w:val="center"/>
              <w:rPr>
                <w:rFonts w:ascii="宋体" w:hAnsi="宋体" w:cs="仿宋"/>
                <w:szCs w:val="21"/>
              </w:rPr>
            </w:pPr>
          </w:p>
        </w:tc>
        <w:tc>
          <w:tcPr>
            <w:tcW w:w="2970" w:type="dxa"/>
            <w:tcBorders>
              <w:top w:val="single" w:color="auto" w:sz="4" w:space="0"/>
              <w:left w:val="single" w:color="auto" w:sz="4" w:space="0"/>
              <w:bottom w:val="single" w:color="auto" w:sz="4" w:space="0"/>
              <w:right w:val="single" w:color="auto" w:sz="4" w:space="0"/>
            </w:tcBorders>
            <w:noWrap w:val="0"/>
            <w:vAlign w:val="center"/>
          </w:tcPr>
          <w:p w14:paraId="4F3775A9">
            <w:pPr>
              <w:spacing w:line="280" w:lineRule="exact"/>
              <w:jc w:val="center"/>
              <w:rPr>
                <w:rFonts w:ascii="宋体" w:hAnsi="宋体" w:cs="仿宋"/>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4CDFD75F">
            <w:pPr>
              <w:spacing w:line="280" w:lineRule="exact"/>
              <w:jc w:val="center"/>
              <w:rPr>
                <w:rFonts w:ascii="宋体" w:hAnsi="宋体" w:cs="仿宋"/>
                <w:szCs w:val="21"/>
              </w:rPr>
            </w:pPr>
          </w:p>
        </w:tc>
      </w:tr>
      <w:tr w14:paraId="4A2F51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732" w:type="dxa"/>
            <w:tcBorders>
              <w:top w:val="single" w:color="auto" w:sz="4" w:space="0"/>
              <w:left w:val="single" w:color="auto" w:sz="4" w:space="0"/>
              <w:bottom w:val="single" w:color="auto" w:sz="4" w:space="0"/>
              <w:right w:val="single" w:color="auto" w:sz="4" w:space="0"/>
            </w:tcBorders>
            <w:noWrap w:val="0"/>
            <w:vAlign w:val="center"/>
          </w:tcPr>
          <w:p w14:paraId="630B7A98">
            <w:pPr>
              <w:spacing w:line="280" w:lineRule="exact"/>
              <w:jc w:val="center"/>
              <w:rPr>
                <w:rFonts w:ascii="宋体" w:hAnsi="宋体" w:cs="仿宋"/>
                <w:sz w:val="24"/>
              </w:rPr>
            </w:pPr>
          </w:p>
        </w:tc>
        <w:tc>
          <w:tcPr>
            <w:tcW w:w="994" w:type="dxa"/>
            <w:tcBorders>
              <w:top w:val="single" w:color="auto" w:sz="4" w:space="0"/>
              <w:left w:val="single" w:color="auto" w:sz="4" w:space="0"/>
              <w:bottom w:val="single" w:color="auto" w:sz="4" w:space="0"/>
              <w:right w:val="single" w:color="auto" w:sz="4" w:space="0"/>
            </w:tcBorders>
            <w:noWrap w:val="0"/>
            <w:vAlign w:val="center"/>
          </w:tcPr>
          <w:p w14:paraId="26B05259">
            <w:pPr>
              <w:spacing w:line="280" w:lineRule="exact"/>
              <w:jc w:val="center"/>
              <w:rPr>
                <w:rFonts w:ascii="宋体" w:hAnsi="宋体" w:cs="仿宋"/>
                <w:szCs w:val="21"/>
              </w:rPr>
            </w:pPr>
          </w:p>
        </w:tc>
        <w:tc>
          <w:tcPr>
            <w:tcW w:w="1834" w:type="dxa"/>
            <w:tcBorders>
              <w:top w:val="single" w:color="auto" w:sz="4" w:space="0"/>
              <w:left w:val="single" w:color="auto" w:sz="4" w:space="0"/>
              <w:bottom w:val="single" w:color="auto" w:sz="4" w:space="0"/>
              <w:right w:val="single" w:color="auto" w:sz="4" w:space="0"/>
            </w:tcBorders>
            <w:noWrap w:val="0"/>
            <w:vAlign w:val="center"/>
          </w:tcPr>
          <w:p w14:paraId="49FA7A51">
            <w:pPr>
              <w:spacing w:line="280" w:lineRule="exact"/>
              <w:jc w:val="center"/>
              <w:rPr>
                <w:rFonts w:ascii="宋体" w:hAnsi="宋体" w:cs="仿宋"/>
                <w:szCs w:val="21"/>
              </w:rPr>
            </w:pPr>
          </w:p>
        </w:tc>
        <w:tc>
          <w:tcPr>
            <w:tcW w:w="1344" w:type="dxa"/>
            <w:tcBorders>
              <w:top w:val="single" w:color="auto" w:sz="4" w:space="0"/>
              <w:left w:val="single" w:color="auto" w:sz="4" w:space="0"/>
              <w:bottom w:val="single" w:color="auto" w:sz="4" w:space="0"/>
              <w:right w:val="single" w:color="auto" w:sz="4" w:space="0"/>
            </w:tcBorders>
            <w:noWrap w:val="0"/>
            <w:vAlign w:val="center"/>
          </w:tcPr>
          <w:p w14:paraId="618997DE">
            <w:pPr>
              <w:spacing w:line="280" w:lineRule="exact"/>
              <w:jc w:val="center"/>
              <w:rPr>
                <w:rFonts w:ascii="宋体" w:hAnsi="宋体" w:cs="仿宋"/>
                <w:szCs w:val="21"/>
              </w:rPr>
            </w:pPr>
          </w:p>
        </w:tc>
        <w:tc>
          <w:tcPr>
            <w:tcW w:w="2970" w:type="dxa"/>
            <w:tcBorders>
              <w:top w:val="single" w:color="auto" w:sz="4" w:space="0"/>
              <w:left w:val="single" w:color="auto" w:sz="4" w:space="0"/>
              <w:bottom w:val="single" w:color="auto" w:sz="4" w:space="0"/>
              <w:right w:val="single" w:color="auto" w:sz="4" w:space="0"/>
            </w:tcBorders>
            <w:noWrap w:val="0"/>
            <w:vAlign w:val="center"/>
          </w:tcPr>
          <w:p w14:paraId="2DF4F99E">
            <w:pPr>
              <w:spacing w:line="280" w:lineRule="exact"/>
              <w:jc w:val="center"/>
              <w:rPr>
                <w:rFonts w:ascii="宋体" w:hAnsi="宋体" w:cs="仿宋"/>
                <w:szCs w:val="21"/>
              </w:rPr>
            </w:pPr>
          </w:p>
        </w:tc>
        <w:tc>
          <w:tcPr>
            <w:tcW w:w="1347" w:type="dxa"/>
            <w:tcBorders>
              <w:top w:val="single" w:color="auto" w:sz="4" w:space="0"/>
              <w:left w:val="single" w:color="auto" w:sz="4" w:space="0"/>
              <w:bottom w:val="single" w:color="auto" w:sz="4" w:space="0"/>
              <w:right w:val="single" w:color="auto" w:sz="4" w:space="0"/>
            </w:tcBorders>
            <w:noWrap w:val="0"/>
            <w:vAlign w:val="center"/>
          </w:tcPr>
          <w:p w14:paraId="260BBA2C">
            <w:pPr>
              <w:spacing w:line="280" w:lineRule="exact"/>
              <w:jc w:val="center"/>
              <w:rPr>
                <w:rFonts w:ascii="宋体" w:hAnsi="宋体" w:cs="仿宋"/>
                <w:szCs w:val="21"/>
              </w:rPr>
            </w:pPr>
          </w:p>
        </w:tc>
      </w:tr>
    </w:tbl>
    <w:p w14:paraId="4A7EAFB2">
      <w:pPr>
        <w:autoSpaceDE w:val="0"/>
        <w:autoSpaceDN w:val="0"/>
        <w:adjustRightInd w:val="0"/>
        <w:ind w:firstLine="640" w:firstLineChars="200"/>
        <w:rPr>
          <w:rFonts w:hint="eastAsia" w:ascii="仿宋" w:hAnsi="仿宋" w:eastAsia="仿宋" w:cs="仿宋"/>
          <w:kern w:val="0"/>
          <w:sz w:val="32"/>
          <w:szCs w:val="32"/>
        </w:rPr>
      </w:pPr>
      <w:r>
        <w:rPr>
          <w:rFonts w:hint="eastAsia" w:ascii="仿宋" w:hAnsi="仿宋" w:eastAsia="仿宋" w:cs="仿宋"/>
          <w:kern w:val="0"/>
          <w:sz w:val="32"/>
          <w:szCs w:val="32"/>
        </w:rPr>
        <w:t>我单位提交的上述人员信息真实准确，与其签订了劳动合同，并依法为其缴纳失业保险费。如存在弄虚作假，骗取补助的违法行为，我单位愿意承担相应法律责任。</w:t>
      </w:r>
    </w:p>
    <w:p w14:paraId="61B0D86A">
      <w:pPr>
        <w:pStyle w:val="3"/>
        <w:ind w:left="0" w:leftChars="0" w:firstLine="4480" w:firstLineChars="1400"/>
        <w:rPr>
          <w:rFonts w:hint="eastAsia" w:ascii="仿宋" w:hAnsi="仿宋" w:eastAsia="仿宋" w:cs="仿宋"/>
          <w:kern w:val="0"/>
          <w:sz w:val="32"/>
          <w:szCs w:val="32"/>
        </w:rPr>
      </w:pPr>
      <w:r>
        <w:rPr>
          <w:rFonts w:hint="eastAsia" w:ascii="仿宋" w:hAnsi="仿宋" w:eastAsia="仿宋" w:cs="仿宋"/>
          <w:kern w:val="0"/>
          <w:sz w:val="32"/>
          <w:szCs w:val="32"/>
        </w:rPr>
        <w:t>单位负责人：（签章）</w:t>
      </w:r>
    </w:p>
    <w:p w14:paraId="30845975">
      <w:pPr>
        <w:pStyle w:val="2"/>
        <w:rPr>
          <w:rFonts w:hint="eastAsia" w:ascii="仿宋" w:hAnsi="仿宋" w:eastAsia="仿宋" w:cs="仿宋"/>
          <w:kern w:val="0"/>
          <w:sz w:val="32"/>
          <w:szCs w:val="32"/>
        </w:rPr>
      </w:pPr>
      <w:r>
        <w:rPr>
          <w:rFonts w:hint="eastAsia" w:ascii="仿宋" w:hAnsi="仿宋" w:eastAsia="仿宋" w:cs="仿宋"/>
          <w:kern w:val="0"/>
          <w:sz w:val="32"/>
          <w:szCs w:val="32"/>
        </w:rPr>
        <w:t xml:space="preserve">                                     年     月     日</w:t>
      </w:r>
    </w:p>
    <w:p w14:paraId="6CD055CC">
      <w:pPr>
        <w:pStyle w:val="2"/>
        <w:ind w:left="843" w:hanging="843" w:hangingChars="300"/>
        <w:rPr>
          <w:rFonts w:eastAsia="楷体"/>
          <w:sz w:val="24"/>
        </w:rPr>
      </w:pPr>
      <w:r>
        <w:rPr>
          <w:rFonts w:hint="eastAsia" w:ascii="楷体" w:hAnsi="楷体" w:eastAsia="楷体" w:cs="楷体"/>
          <w:b/>
          <w:bCs/>
          <w:kern w:val="0"/>
          <w:sz w:val="28"/>
          <w:szCs w:val="28"/>
        </w:rPr>
        <w:t>备注：本花名册一式2份；区县（功能区）公共就业服务机构和企业各1份，存档备查。</w:t>
      </w:r>
    </w:p>
    <w:p w14:paraId="0CF6F505">
      <w:pPr>
        <w:ind w:left="-283" w:leftChars="-135" w:right="-340" w:rightChars="-162"/>
        <w:jc w:val="left"/>
        <w:rPr>
          <w:rFonts w:ascii="仿宋" w:hAnsi="仿宋" w:eastAsia="仿宋"/>
          <w:color w:val="000000"/>
          <w:sz w:val="30"/>
          <w:szCs w:val="30"/>
        </w:rPr>
      </w:pPr>
      <w:r>
        <w:rPr>
          <w:rFonts w:hint="eastAsia" w:ascii="仿宋" w:hAnsi="仿宋" w:eastAsia="仿宋"/>
          <w:color w:val="000000"/>
          <w:sz w:val="30"/>
          <w:szCs w:val="30"/>
        </w:rPr>
        <w:t xml:space="preserve"> 附件2：</w:t>
      </w:r>
    </w:p>
    <w:p w14:paraId="77CFBDD4">
      <w:pPr>
        <w:ind w:left="-283" w:leftChars="-135" w:right="-340" w:rightChars="-162"/>
        <w:jc w:val="left"/>
        <w:rPr>
          <w:rFonts w:ascii="仿宋" w:hAnsi="仿宋" w:eastAsia="仿宋"/>
          <w:sz w:val="30"/>
          <w:szCs w:val="30"/>
        </w:rPr>
      </w:pPr>
    </w:p>
    <w:p w14:paraId="379E43E2">
      <w:pPr>
        <w:ind w:left="-283" w:leftChars="-135" w:right="-340" w:rightChars="-162"/>
        <w:jc w:val="center"/>
        <w:rPr>
          <w:rFonts w:ascii="宋体" w:hAnsi="宋体"/>
          <w:b/>
          <w:sz w:val="44"/>
          <w:szCs w:val="44"/>
        </w:rPr>
      </w:pPr>
      <w:r>
        <w:rPr>
          <w:rFonts w:hint="eastAsia" w:ascii="宋体" w:hAnsi="宋体"/>
          <w:b/>
          <w:sz w:val="44"/>
          <w:szCs w:val="44"/>
        </w:rPr>
        <w:t>派遣机构与用工企业一次性扩岗补助确认书</w:t>
      </w:r>
    </w:p>
    <w:p w14:paraId="32C0DA4E">
      <w:pPr>
        <w:ind w:left="-283" w:leftChars="-135" w:right="-340" w:rightChars="-162" w:firstLine="640" w:firstLineChars="200"/>
        <w:rPr>
          <w:rFonts w:ascii="仿宋" w:hAnsi="仿宋" w:eastAsia="仿宋"/>
          <w:sz w:val="32"/>
          <w:szCs w:val="32"/>
        </w:rPr>
      </w:pPr>
    </w:p>
    <w:p w14:paraId="3A354326">
      <w:pPr>
        <w:spacing w:line="540" w:lineRule="exact"/>
        <w:ind w:left="-283" w:leftChars="-135" w:right="-340" w:rightChars="-162" w:firstLine="640" w:firstLineChars="200"/>
        <w:rPr>
          <w:rFonts w:ascii="仿宋" w:hAnsi="仿宋" w:eastAsia="仿宋"/>
          <w:sz w:val="32"/>
          <w:szCs w:val="32"/>
        </w:rPr>
      </w:pPr>
      <w:r>
        <w:rPr>
          <w:rFonts w:hint="eastAsia" w:ascii="仿宋" w:hAnsi="仿宋" w:eastAsia="仿宋"/>
          <w:sz w:val="32"/>
          <w:szCs w:val="32"/>
        </w:rPr>
        <w:t>甲方（派遣机构）：</w:t>
      </w:r>
    </w:p>
    <w:p w14:paraId="5534FC25">
      <w:pPr>
        <w:spacing w:line="540" w:lineRule="exact"/>
        <w:ind w:left="-283" w:leftChars="-135" w:right="-340" w:rightChars="-162" w:firstLine="640" w:firstLineChars="200"/>
        <w:rPr>
          <w:rFonts w:ascii="仿宋" w:hAnsi="仿宋" w:eastAsia="仿宋"/>
          <w:sz w:val="32"/>
          <w:szCs w:val="32"/>
        </w:rPr>
      </w:pPr>
      <w:r>
        <w:rPr>
          <w:rFonts w:hint="eastAsia" w:ascii="仿宋" w:hAnsi="仿宋" w:eastAsia="仿宋"/>
          <w:sz w:val="32"/>
          <w:szCs w:val="32"/>
        </w:rPr>
        <w:t>乙方（用工企业）：</w:t>
      </w:r>
    </w:p>
    <w:p w14:paraId="2D1420F1">
      <w:pPr>
        <w:spacing w:line="540" w:lineRule="exact"/>
        <w:ind w:left="-283" w:leftChars="-135" w:right="-340" w:rightChars="-162" w:firstLine="640" w:firstLineChars="200"/>
        <w:rPr>
          <w:rFonts w:ascii="仿宋" w:hAnsi="仿宋" w:eastAsia="仿宋"/>
          <w:sz w:val="32"/>
          <w:szCs w:val="32"/>
        </w:rPr>
      </w:pPr>
    </w:p>
    <w:p w14:paraId="01B27C2C">
      <w:pPr>
        <w:spacing w:line="540" w:lineRule="exact"/>
        <w:ind w:left="-283" w:leftChars="-135" w:right="-340" w:rightChars="-162" w:firstLine="640" w:firstLineChars="200"/>
        <w:rPr>
          <w:rFonts w:ascii="仿宋" w:hAnsi="仿宋" w:eastAsia="仿宋"/>
          <w:sz w:val="32"/>
          <w:szCs w:val="32"/>
        </w:rPr>
      </w:pPr>
      <w:r>
        <w:rPr>
          <w:rFonts w:hint="eastAsia" w:ascii="仿宋" w:hAnsi="仿宋" w:eastAsia="仿宋"/>
          <w:sz w:val="32"/>
          <w:szCs w:val="32"/>
        </w:rPr>
        <w:t>根据甲乙双方派遣用工协议，甲方派去乙方的2022年度普通高校毕业生共计</w:t>
      </w:r>
      <w:r>
        <w:rPr>
          <w:rFonts w:hint="eastAsia" w:ascii="仿宋" w:hAnsi="仿宋" w:eastAsia="仿宋"/>
          <w:sz w:val="32"/>
          <w:szCs w:val="32"/>
          <w:u w:val="single"/>
        </w:rPr>
        <w:t xml:space="preserve">      </w:t>
      </w:r>
      <w:r>
        <w:rPr>
          <w:rFonts w:hint="eastAsia" w:ascii="仿宋" w:hAnsi="仿宋" w:eastAsia="仿宋"/>
          <w:sz w:val="32"/>
          <w:szCs w:val="32"/>
        </w:rPr>
        <w:t>人，均按《社会保险法》等国家有关政策规定为其缴纳失业保险费，且目前仍在缴费状态。缴纳的失业保险费实际出资方为乙方。根据国家一次性扩岗补助政策和济南市补助标准，补助金额共计</w:t>
      </w:r>
      <w:r>
        <w:rPr>
          <w:rFonts w:hint="eastAsia" w:ascii="仿宋" w:hAnsi="仿宋" w:eastAsia="仿宋"/>
          <w:sz w:val="32"/>
          <w:szCs w:val="32"/>
          <w:u w:val="single"/>
        </w:rPr>
        <w:t xml:space="preserve">     </w:t>
      </w:r>
      <w:r>
        <w:rPr>
          <w:rFonts w:hint="eastAsia" w:ascii="仿宋" w:hAnsi="仿宋" w:eastAsia="仿宋"/>
          <w:sz w:val="32"/>
          <w:szCs w:val="32"/>
        </w:rPr>
        <w:t>元（大写：             ），该资金由甲方代为领取，待资金到账后及时划转给乙方。</w:t>
      </w:r>
    </w:p>
    <w:p w14:paraId="4B2F1E40">
      <w:pPr>
        <w:spacing w:line="540" w:lineRule="exact"/>
        <w:ind w:left="-283" w:leftChars="-135" w:right="-340" w:rightChars="-162" w:firstLine="640" w:firstLineChars="200"/>
        <w:rPr>
          <w:rFonts w:ascii="仿宋" w:hAnsi="仿宋" w:eastAsia="仿宋"/>
          <w:sz w:val="32"/>
          <w:szCs w:val="32"/>
        </w:rPr>
      </w:pPr>
      <w:r>
        <w:rPr>
          <w:rFonts w:hint="eastAsia" w:ascii="仿宋" w:hAnsi="仿宋" w:eastAsia="仿宋"/>
          <w:sz w:val="32"/>
          <w:szCs w:val="32"/>
        </w:rPr>
        <w:t>乙方单位名称：</w:t>
      </w:r>
    </w:p>
    <w:p w14:paraId="06BCD95F">
      <w:pPr>
        <w:spacing w:line="540" w:lineRule="exact"/>
        <w:ind w:left="-283" w:leftChars="-135" w:right="-340" w:rightChars="-162" w:firstLine="640" w:firstLineChars="200"/>
        <w:rPr>
          <w:rFonts w:ascii="仿宋" w:hAnsi="仿宋" w:eastAsia="仿宋"/>
          <w:sz w:val="32"/>
          <w:szCs w:val="32"/>
        </w:rPr>
      </w:pPr>
      <w:r>
        <w:rPr>
          <w:rFonts w:hint="eastAsia" w:ascii="仿宋" w:hAnsi="仿宋" w:eastAsia="仿宋"/>
          <w:sz w:val="32"/>
          <w:szCs w:val="32"/>
        </w:rPr>
        <w:t>乙方开户银行：</w:t>
      </w:r>
    </w:p>
    <w:p w14:paraId="47C98BB8">
      <w:pPr>
        <w:spacing w:line="540" w:lineRule="exact"/>
        <w:ind w:left="-283" w:leftChars="-135" w:right="-340" w:rightChars="-162" w:firstLine="640" w:firstLineChars="200"/>
        <w:rPr>
          <w:rFonts w:ascii="仿宋" w:hAnsi="仿宋" w:eastAsia="仿宋"/>
          <w:sz w:val="32"/>
          <w:szCs w:val="32"/>
        </w:rPr>
      </w:pPr>
      <w:r>
        <w:rPr>
          <w:rFonts w:hint="eastAsia" w:ascii="仿宋" w:hAnsi="仿宋" w:eastAsia="仿宋"/>
          <w:sz w:val="32"/>
          <w:szCs w:val="32"/>
        </w:rPr>
        <w:t>乙方对公账号：</w:t>
      </w:r>
    </w:p>
    <w:p w14:paraId="635F85A4">
      <w:pPr>
        <w:spacing w:line="540" w:lineRule="exact"/>
        <w:ind w:left="-283" w:leftChars="-135" w:right="-340" w:rightChars="-162" w:firstLine="640" w:firstLineChars="200"/>
        <w:rPr>
          <w:rFonts w:ascii="仿宋" w:hAnsi="仿宋" w:eastAsia="仿宋"/>
          <w:sz w:val="32"/>
          <w:szCs w:val="32"/>
        </w:rPr>
      </w:pPr>
    </w:p>
    <w:p w14:paraId="3A048048">
      <w:pPr>
        <w:spacing w:line="540" w:lineRule="exact"/>
        <w:ind w:left="-283" w:leftChars="-135" w:right="-340" w:rightChars="-162" w:firstLine="640" w:firstLineChars="200"/>
        <w:rPr>
          <w:rFonts w:ascii="仿宋" w:hAnsi="仿宋" w:eastAsia="仿宋"/>
          <w:sz w:val="32"/>
          <w:szCs w:val="32"/>
        </w:rPr>
      </w:pPr>
    </w:p>
    <w:p w14:paraId="4B1313F2">
      <w:pPr>
        <w:spacing w:line="540" w:lineRule="exact"/>
        <w:ind w:left="-283" w:leftChars="-135" w:right="-340" w:rightChars="-162" w:firstLine="640" w:firstLineChars="200"/>
        <w:rPr>
          <w:rFonts w:ascii="仿宋" w:hAnsi="仿宋" w:eastAsia="仿宋"/>
          <w:sz w:val="32"/>
          <w:szCs w:val="32"/>
        </w:rPr>
      </w:pPr>
      <w:r>
        <w:rPr>
          <w:rFonts w:hint="eastAsia" w:ascii="仿宋" w:hAnsi="仿宋" w:eastAsia="仿宋"/>
          <w:sz w:val="32"/>
          <w:szCs w:val="32"/>
        </w:rPr>
        <w:t>甲方（签章）                     乙方（签章）</w:t>
      </w:r>
    </w:p>
    <w:p w14:paraId="189D414B">
      <w:pPr>
        <w:spacing w:line="540" w:lineRule="exact"/>
        <w:ind w:left="-283" w:leftChars="-135" w:right="-340" w:rightChars="-162" w:firstLine="5120" w:firstLineChars="1600"/>
        <w:rPr>
          <w:rFonts w:ascii="仿宋" w:hAnsi="仿宋" w:eastAsia="仿宋"/>
          <w:sz w:val="32"/>
          <w:szCs w:val="32"/>
        </w:rPr>
      </w:pPr>
    </w:p>
    <w:p w14:paraId="0F826AE1">
      <w:pPr>
        <w:spacing w:line="540" w:lineRule="exact"/>
        <w:ind w:left="-283" w:leftChars="-135" w:right="-340" w:rightChars="-162" w:firstLine="5440" w:firstLineChars="1700"/>
        <w:rPr>
          <w:rFonts w:ascii="仿宋" w:hAnsi="仿宋" w:eastAsia="仿宋"/>
          <w:sz w:val="32"/>
          <w:szCs w:val="32"/>
        </w:rPr>
      </w:pPr>
      <w:r>
        <w:rPr>
          <w:rFonts w:hint="eastAsia" w:ascii="仿宋" w:hAnsi="仿宋" w:eastAsia="仿宋"/>
          <w:sz w:val="32"/>
          <w:szCs w:val="32"/>
        </w:rPr>
        <w:t xml:space="preserve">    年    月    日</w:t>
      </w:r>
    </w:p>
    <w:p w14:paraId="0491F677">
      <w:pPr>
        <w:spacing w:line="540" w:lineRule="exact"/>
        <w:ind w:left="843" w:right="-340" w:rightChars="-162" w:hanging="843" w:hangingChars="300"/>
        <w:rPr>
          <w:rFonts w:ascii="仿宋" w:hAnsi="仿宋" w:eastAsia="仿宋"/>
          <w:sz w:val="28"/>
          <w:szCs w:val="28"/>
        </w:rPr>
      </w:pPr>
      <w:r>
        <w:rPr>
          <w:rFonts w:hint="eastAsia" w:ascii="仿宋" w:hAnsi="仿宋" w:eastAsia="仿宋"/>
          <w:b/>
          <w:sz w:val="28"/>
          <w:szCs w:val="28"/>
        </w:rPr>
        <w:t>备注：本确认书一式3份，区县（功能区）公共就业服务机构和甲方、乙方各1份，存档备查。</w:t>
      </w:r>
    </w:p>
    <w:p w14:paraId="7F7737FC">
      <w:pPr>
        <w:spacing w:line="592" w:lineRule="exact"/>
        <w:rPr>
          <w:rFonts w:hint="eastAsia" w:ascii="宋体" w:hAnsi="宋体" w:eastAsia="黑体"/>
          <w:color w:val="000000"/>
          <w:sz w:val="32"/>
          <w:szCs w:val="28"/>
        </w:rPr>
      </w:pPr>
      <w:r>
        <w:rPr>
          <w:rFonts w:hint="eastAsia" w:ascii="宋体" w:hAnsi="宋体" w:eastAsia="黑体"/>
          <w:color w:val="000000"/>
          <w:sz w:val="32"/>
          <w:szCs w:val="28"/>
        </w:rPr>
        <w:t>附件3</w:t>
      </w:r>
    </w:p>
    <w:p w14:paraId="2927D0B5">
      <w:pPr>
        <w:adjustRightInd w:val="0"/>
        <w:snapToGrid w:val="0"/>
        <w:spacing w:line="592" w:lineRule="exact"/>
        <w:rPr>
          <w:rFonts w:ascii="宋体" w:hAnsi="宋体" w:eastAsia="黑体"/>
          <w:color w:val="000000"/>
          <w:sz w:val="32"/>
          <w:szCs w:val="28"/>
        </w:rPr>
      </w:pPr>
    </w:p>
    <w:p w14:paraId="14ABB5EC">
      <w:pPr>
        <w:spacing w:line="592" w:lineRule="exact"/>
        <w:jc w:val="center"/>
        <w:rPr>
          <w:rFonts w:hint="eastAsia" w:ascii="华文中宋" w:hAnsi="华文中宋" w:eastAsia="华文中宋" w:cs="华文中宋"/>
          <w:color w:val="000000"/>
          <w:sz w:val="44"/>
          <w:szCs w:val="44"/>
        </w:rPr>
      </w:pPr>
      <w:r>
        <w:rPr>
          <w:rFonts w:hint="eastAsia" w:ascii="华文中宋" w:hAnsi="华文中宋" w:eastAsia="华文中宋" w:cs="华文中宋"/>
          <w:sz w:val="44"/>
          <w:szCs w:val="44"/>
        </w:rPr>
        <w:t>一次性扩岗补助发放</w:t>
      </w:r>
      <w:r>
        <w:rPr>
          <w:rFonts w:hint="eastAsia" w:ascii="华文中宋" w:hAnsi="华文中宋" w:eastAsia="华文中宋" w:cs="华文中宋"/>
          <w:color w:val="000000"/>
          <w:sz w:val="44"/>
          <w:szCs w:val="44"/>
        </w:rPr>
        <w:t>公示</w:t>
      </w:r>
    </w:p>
    <w:p w14:paraId="4CDF220E">
      <w:pPr>
        <w:spacing w:line="592" w:lineRule="exact"/>
        <w:ind w:firstLine="643" w:firstLineChars="200"/>
        <w:rPr>
          <w:rFonts w:ascii="宋体" w:hAnsi="宋体" w:eastAsia="黑体" w:cs="宋体"/>
          <w:b/>
          <w:bCs/>
          <w:color w:val="000000"/>
          <w:kern w:val="0"/>
          <w:sz w:val="32"/>
          <w:szCs w:val="32"/>
        </w:rPr>
      </w:pPr>
    </w:p>
    <w:p w14:paraId="2739825A">
      <w:pPr>
        <w:spacing w:line="592" w:lineRule="exact"/>
        <w:ind w:firstLine="640" w:firstLineChars="200"/>
        <w:rPr>
          <w:rFonts w:ascii="宋体" w:hAnsi="宋体" w:eastAsia="仿宋_GB2312"/>
          <w:color w:val="000000"/>
          <w:sz w:val="32"/>
          <w:szCs w:val="32"/>
        </w:rPr>
      </w:pPr>
      <w:r>
        <w:rPr>
          <w:rFonts w:hint="eastAsia" w:ascii="宋体" w:hAnsi="宋体" w:eastAsia="仿宋_GB2312"/>
          <w:color w:val="000000"/>
          <w:sz w:val="32"/>
          <w:szCs w:val="32"/>
        </w:rPr>
        <w:t>截至2024年</w:t>
      </w:r>
      <w:r>
        <w:rPr>
          <w:rFonts w:hint="eastAsia" w:ascii="宋体" w:hAnsi="宋体" w:eastAsia="仿宋_GB2312"/>
          <w:color w:val="000000"/>
          <w:sz w:val="32"/>
          <w:szCs w:val="32"/>
          <w:u w:val="single"/>
        </w:rPr>
        <w:t xml:space="preserve">   </w:t>
      </w:r>
      <w:r>
        <w:rPr>
          <w:rFonts w:hint="eastAsia" w:ascii="宋体" w:hAnsi="宋体" w:eastAsia="仿宋_GB2312"/>
          <w:color w:val="000000"/>
          <w:sz w:val="32"/>
          <w:szCs w:val="32"/>
        </w:rPr>
        <w:t>月，我区（县）共有</w:t>
      </w:r>
      <w:r>
        <w:rPr>
          <w:rFonts w:hint="eastAsia" w:ascii="宋体" w:hAnsi="宋体" w:eastAsia="仿宋_GB2312"/>
          <w:color w:val="000000"/>
          <w:sz w:val="32"/>
          <w:szCs w:val="32"/>
          <w:u w:val="single"/>
        </w:rPr>
        <w:t xml:space="preserve">         </w:t>
      </w:r>
      <w:r>
        <w:rPr>
          <w:rFonts w:hint="eastAsia" w:ascii="宋体" w:hAnsi="宋体" w:eastAsia="仿宋_GB2312"/>
          <w:color w:val="000000"/>
          <w:sz w:val="32"/>
          <w:szCs w:val="32"/>
        </w:rPr>
        <w:t>等</w:t>
      </w:r>
      <w:r>
        <w:rPr>
          <w:rFonts w:hint="eastAsia" w:ascii="宋体" w:hAnsi="宋体" w:eastAsia="仿宋_GB2312"/>
          <w:color w:val="000000"/>
          <w:sz w:val="32"/>
          <w:szCs w:val="32"/>
          <w:u w:val="single"/>
        </w:rPr>
        <w:t xml:space="preserve">    </w:t>
      </w:r>
      <w:r>
        <w:rPr>
          <w:rFonts w:hint="eastAsia" w:ascii="宋体" w:hAnsi="宋体" w:eastAsia="仿宋_GB2312"/>
          <w:color w:val="000000"/>
          <w:sz w:val="32"/>
          <w:szCs w:val="32"/>
        </w:rPr>
        <w:t>家企业在2024年内招用</w:t>
      </w:r>
      <w:r>
        <w:rPr>
          <w:rFonts w:hint="eastAsia" w:ascii="宋体" w:hAnsi="宋体" w:eastAsia="仿宋_GB2312"/>
          <w:color w:val="000000"/>
          <w:sz w:val="32"/>
          <w:szCs w:val="32"/>
          <w:u w:val="single"/>
        </w:rPr>
        <w:t xml:space="preserve">      </w:t>
      </w:r>
      <w:r>
        <w:rPr>
          <w:rFonts w:hint="eastAsia" w:ascii="宋体" w:hAnsi="宋体" w:eastAsia="仿宋_GB2312"/>
          <w:color w:val="000000"/>
          <w:sz w:val="32"/>
          <w:szCs w:val="32"/>
        </w:rPr>
        <w:t>等</w:t>
      </w:r>
      <w:r>
        <w:rPr>
          <w:rFonts w:hint="eastAsia" w:ascii="宋体" w:hAnsi="宋体" w:eastAsia="仿宋_GB2312"/>
          <w:color w:val="000000"/>
          <w:sz w:val="32"/>
          <w:szCs w:val="32"/>
          <w:u w:val="single"/>
        </w:rPr>
        <w:t xml:space="preserve">    </w:t>
      </w:r>
      <w:r>
        <w:rPr>
          <w:rFonts w:hint="eastAsia" w:ascii="宋体" w:hAnsi="宋体" w:eastAsia="仿宋_GB2312"/>
          <w:color w:val="000000"/>
          <w:sz w:val="32"/>
          <w:szCs w:val="32"/>
        </w:rPr>
        <w:t>名普通高校毕业生，符合</w:t>
      </w:r>
      <w:r>
        <w:rPr>
          <w:rFonts w:hint="eastAsia" w:ascii="仿宋" w:hAnsi="仿宋" w:eastAsia="仿宋" w:cs="仿宋"/>
          <w:sz w:val="32"/>
          <w:szCs w:val="32"/>
        </w:rPr>
        <w:t>一次性扩岗补助申领条件，</w:t>
      </w:r>
      <w:r>
        <w:rPr>
          <w:rFonts w:hint="eastAsia" w:ascii="宋体" w:hAnsi="宋体" w:eastAsia="仿宋_GB2312"/>
          <w:color w:val="000000"/>
          <w:sz w:val="32"/>
          <w:szCs w:val="32"/>
        </w:rPr>
        <w:t>根据相关工作程序，现予以公示，欢迎社会各界对申领单位及情况进行监督，如有异议，请与我们联系。</w:t>
      </w:r>
    </w:p>
    <w:p w14:paraId="6DC8EB59">
      <w:pPr>
        <w:spacing w:line="592" w:lineRule="exact"/>
        <w:ind w:firstLine="640" w:firstLineChars="200"/>
        <w:rPr>
          <w:rFonts w:ascii="宋体" w:hAnsi="宋体" w:eastAsia="仿宋_GB2312"/>
          <w:color w:val="000000"/>
          <w:sz w:val="32"/>
          <w:szCs w:val="32"/>
        </w:rPr>
      </w:pPr>
      <w:r>
        <w:rPr>
          <w:rFonts w:hint="eastAsia" w:ascii="宋体" w:hAnsi="宋体" w:eastAsia="仿宋_GB2312"/>
          <w:color w:val="000000"/>
          <w:sz w:val="32"/>
          <w:szCs w:val="32"/>
        </w:rPr>
        <w:t>公示时间：   年  月  日—　  年  月  日</w:t>
      </w:r>
    </w:p>
    <w:p w14:paraId="16136D4B">
      <w:pPr>
        <w:spacing w:line="592" w:lineRule="exact"/>
        <w:ind w:firstLine="640" w:firstLineChars="200"/>
        <w:rPr>
          <w:rFonts w:ascii="宋体" w:hAnsi="宋体" w:eastAsia="仿宋_GB2312"/>
          <w:color w:val="000000"/>
          <w:sz w:val="32"/>
          <w:szCs w:val="32"/>
        </w:rPr>
      </w:pPr>
      <w:r>
        <w:rPr>
          <w:rFonts w:hint="eastAsia" w:ascii="宋体" w:hAnsi="宋体" w:eastAsia="仿宋_GB2312"/>
          <w:color w:val="000000"/>
          <w:sz w:val="32"/>
          <w:szCs w:val="32"/>
        </w:rPr>
        <w:t>监督电话：</w:t>
      </w:r>
    </w:p>
    <w:p w14:paraId="501FF8DF">
      <w:pPr>
        <w:spacing w:after="374" w:afterLines="120" w:line="592" w:lineRule="exact"/>
        <w:ind w:firstLine="640" w:firstLineChars="200"/>
        <w:rPr>
          <w:rFonts w:ascii="宋体" w:hAnsi="宋体" w:eastAsia="仿宋_GB2312"/>
          <w:color w:val="000000"/>
          <w:sz w:val="32"/>
          <w:szCs w:val="32"/>
        </w:rPr>
      </w:pPr>
      <w:r>
        <w:rPr>
          <w:rFonts w:hint="eastAsia" w:ascii="宋体" w:hAnsi="宋体" w:eastAsia="仿宋_GB2312"/>
          <w:color w:val="000000"/>
          <w:sz w:val="32"/>
          <w:szCs w:val="32"/>
          <w:u w:val="single"/>
        </w:rPr>
        <w:t xml:space="preserve">      </w:t>
      </w:r>
      <w:r>
        <w:rPr>
          <w:rFonts w:hint="eastAsia" w:ascii="宋体" w:hAnsi="宋体" w:eastAsia="仿宋_GB2312"/>
          <w:color w:val="000000"/>
          <w:sz w:val="32"/>
          <w:szCs w:val="32"/>
        </w:rPr>
        <w:t>区（县）公共就业服务机构       电话：</w:t>
      </w:r>
    </w:p>
    <w:tbl>
      <w:tblPr>
        <w:tblStyle w:val="6"/>
        <w:tblW w:w="1004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91"/>
        <w:gridCol w:w="850"/>
        <w:gridCol w:w="1623"/>
        <w:gridCol w:w="1111"/>
        <w:gridCol w:w="1687"/>
        <w:gridCol w:w="2638"/>
        <w:gridCol w:w="1443"/>
      </w:tblGrid>
      <w:tr w14:paraId="28BE37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91" w:type="dxa"/>
            <w:noWrap/>
            <w:vAlign w:val="center"/>
          </w:tcPr>
          <w:p w14:paraId="1F75C012">
            <w:pPr>
              <w:widowControl/>
              <w:spacing w:before="100" w:beforeAutospacing="1" w:after="100" w:afterAutospacing="1" w:line="440" w:lineRule="exact"/>
              <w:jc w:val="center"/>
              <w:rPr>
                <w:rFonts w:ascii="宋体" w:hAnsi="宋体" w:eastAsia="黑体" w:cs="宋体"/>
                <w:color w:val="000000"/>
                <w:kern w:val="0"/>
                <w:szCs w:val="21"/>
              </w:rPr>
            </w:pPr>
            <w:r>
              <w:rPr>
                <w:rFonts w:hint="eastAsia" w:ascii="宋体" w:hAnsi="宋体" w:eastAsia="黑体" w:cs="宋体"/>
                <w:bCs/>
                <w:color w:val="000000"/>
                <w:kern w:val="0"/>
                <w:szCs w:val="21"/>
              </w:rPr>
              <w:t>序号</w:t>
            </w:r>
          </w:p>
        </w:tc>
        <w:tc>
          <w:tcPr>
            <w:tcW w:w="850" w:type="dxa"/>
            <w:noWrap w:val="0"/>
            <w:vAlign w:val="center"/>
          </w:tcPr>
          <w:p w14:paraId="463062B7">
            <w:pPr>
              <w:widowControl/>
              <w:spacing w:before="100" w:beforeAutospacing="1" w:after="100" w:afterAutospacing="1" w:line="440" w:lineRule="exact"/>
              <w:jc w:val="center"/>
              <w:rPr>
                <w:rFonts w:ascii="宋体" w:hAnsi="宋体" w:eastAsia="黑体" w:cs="宋体"/>
                <w:color w:val="000000"/>
                <w:kern w:val="0"/>
                <w:szCs w:val="21"/>
              </w:rPr>
            </w:pPr>
            <w:r>
              <w:rPr>
                <w:rFonts w:hint="eastAsia" w:ascii="宋体" w:hAnsi="宋体" w:eastAsia="黑体" w:cs="宋体"/>
                <w:bCs/>
                <w:color w:val="000000"/>
                <w:kern w:val="0"/>
                <w:szCs w:val="21"/>
              </w:rPr>
              <w:t>姓  名</w:t>
            </w:r>
          </w:p>
        </w:tc>
        <w:tc>
          <w:tcPr>
            <w:tcW w:w="1623" w:type="dxa"/>
            <w:noWrap w:val="0"/>
            <w:vAlign w:val="center"/>
          </w:tcPr>
          <w:p w14:paraId="2B9B94DA">
            <w:pPr>
              <w:widowControl/>
              <w:spacing w:before="100" w:beforeAutospacing="1" w:after="100" w:afterAutospacing="1" w:line="440" w:lineRule="exact"/>
              <w:jc w:val="center"/>
              <w:rPr>
                <w:rFonts w:ascii="宋体" w:hAnsi="宋体" w:eastAsia="黑体" w:cs="宋体"/>
                <w:color w:val="000000"/>
                <w:kern w:val="0"/>
                <w:szCs w:val="21"/>
              </w:rPr>
            </w:pPr>
            <w:r>
              <w:rPr>
                <w:rFonts w:hint="eastAsia" w:ascii="宋体" w:hAnsi="宋体" w:eastAsia="黑体" w:cs="宋体"/>
                <w:color w:val="000000"/>
                <w:kern w:val="0"/>
                <w:szCs w:val="21"/>
              </w:rPr>
              <w:t>身份证号码</w:t>
            </w:r>
          </w:p>
        </w:tc>
        <w:tc>
          <w:tcPr>
            <w:tcW w:w="1111" w:type="dxa"/>
            <w:noWrap w:val="0"/>
            <w:vAlign w:val="center"/>
          </w:tcPr>
          <w:p w14:paraId="18466266">
            <w:pPr>
              <w:widowControl/>
              <w:spacing w:before="100" w:beforeAutospacing="1" w:after="100" w:afterAutospacing="1" w:line="440" w:lineRule="exact"/>
              <w:jc w:val="center"/>
              <w:rPr>
                <w:rFonts w:hint="eastAsia" w:ascii="宋体" w:hAnsi="宋体" w:eastAsia="黑体" w:cs="宋体"/>
                <w:color w:val="000000"/>
                <w:kern w:val="0"/>
                <w:szCs w:val="21"/>
              </w:rPr>
            </w:pPr>
            <w:r>
              <w:rPr>
                <w:rFonts w:hint="eastAsia" w:ascii="宋体" w:hAnsi="宋体" w:eastAsia="黑体" w:cs="宋体"/>
                <w:bCs/>
                <w:color w:val="000000"/>
                <w:kern w:val="0"/>
                <w:szCs w:val="21"/>
              </w:rPr>
              <w:t>毕业时间</w:t>
            </w:r>
          </w:p>
        </w:tc>
        <w:tc>
          <w:tcPr>
            <w:tcW w:w="1687" w:type="dxa"/>
            <w:noWrap w:val="0"/>
            <w:vAlign w:val="center"/>
          </w:tcPr>
          <w:p w14:paraId="6852B1B6">
            <w:pPr>
              <w:widowControl/>
              <w:spacing w:before="100" w:beforeAutospacing="1" w:after="100" w:afterAutospacing="1" w:line="440" w:lineRule="exact"/>
              <w:jc w:val="center"/>
              <w:rPr>
                <w:rFonts w:hint="eastAsia" w:ascii="宋体" w:hAnsi="宋体" w:eastAsia="黑体" w:cs="宋体"/>
                <w:color w:val="000000"/>
                <w:kern w:val="0"/>
                <w:szCs w:val="21"/>
              </w:rPr>
            </w:pPr>
            <w:r>
              <w:rPr>
                <w:rFonts w:hint="eastAsia" w:ascii="宋体" w:hAnsi="宋体" w:eastAsia="黑体" w:cs="宋体"/>
                <w:color w:val="000000"/>
                <w:kern w:val="0"/>
                <w:szCs w:val="21"/>
              </w:rPr>
              <w:t>工作单位</w:t>
            </w:r>
          </w:p>
        </w:tc>
        <w:tc>
          <w:tcPr>
            <w:tcW w:w="2638" w:type="dxa"/>
            <w:noWrap w:val="0"/>
            <w:vAlign w:val="center"/>
          </w:tcPr>
          <w:p w14:paraId="3C689DEA">
            <w:pPr>
              <w:widowControl/>
              <w:spacing w:before="100" w:beforeAutospacing="1" w:after="100" w:afterAutospacing="1" w:line="440" w:lineRule="exact"/>
              <w:jc w:val="center"/>
              <w:rPr>
                <w:rFonts w:ascii="宋体" w:hAnsi="宋体" w:eastAsia="黑体" w:cs="宋体"/>
                <w:color w:val="000000"/>
                <w:kern w:val="0"/>
                <w:szCs w:val="21"/>
              </w:rPr>
            </w:pPr>
            <w:r>
              <w:rPr>
                <w:rFonts w:hint="eastAsia" w:ascii="宋体" w:hAnsi="宋体" w:eastAsia="黑体" w:cs="宋体"/>
                <w:color w:val="000000"/>
                <w:kern w:val="0"/>
                <w:szCs w:val="21"/>
              </w:rPr>
              <w:t>劳动合同起止时间</w:t>
            </w:r>
          </w:p>
        </w:tc>
        <w:tc>
          <w:tcPr>
            <w:tcW w:w="1443" w:type="dxa"/>
            <w:noWrap w:val="0"/>
            <w:vAlign w:val="center"/>
          </w:tcPr>
          <w:p w14:paraId="49BF5271">
            <w:pPr>
              <w:widowControl/>
              <w:spacing w:before="100" w:beforeAutospacing="1" w:after="100" w:afterAutospacing="1" w:line="440" w:lineRule="exact"/>
              <w:jc w:val="center"/>
              <w:rPr>
                <w:rFonts w:ascii="宋体" w:hAnsi="宋体" w:eastAsia="黑体" w:cs="宋体"/>
                <w:color w:val="000000"/>
                <w:kern w:val="0"/>
                <w:szCs w:val="21"/>
              </w:rPr>
            </w:pPr>
            <w:r>
              <w:rPr>
                <w:rFonts w:hint="eastAsia" w:ascii="宋体" w:hAnsi="宋体" w:eastAsia="黑体" w:cs="宋体"/>
                <w:color w:val="000000"/>
                <w:kern w:val="0"/>
                <w:szCs w:val="21"/>
              </w:rPr>
              <w:t>补助金额</w:t>
            </w:r>
          </w:p>
        </w:tc>
      </w:tr>
      <w:tr w14:paraId="18BB98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91" w:type="dxa"/>
            <w:noWrap w:val="0"/>
            <w:vAlign w:val="center"/>
          </w:tcPr>
          <w:p w14:paraId="2FF191C4">
            <w:pPr>
              <w:widowControl/>
              <w:spacing w:before="100" w:beforeAutospacing="1" w:after="100" w:afterAutospacing="1" w:line="440" w:lineRule="exact"/>
              <w:jc w:val="center"/>
              <w:rPr>
                <w:rFonts w:ascii="宋体" w:hAnsi="宋体" w:cs="宋体"/>
                <w:color w:val="000000"/>
                <w:kern w:val="0"/>
                <w:szCs w:val="21"/>
              </w:rPr>
            </w:pPr>
          </w:p>
        </w:tc>
        <w:tc>
          <w:tcPr>
            <w:tcW w:w="850" w:type="dxa"/>
            <w:noWrap w:val="0"/>
            <w:vAlign w:val="center"/>
          </w:tcPr>
          <w:p w14:paraId="51321FF3">
            <w:pPr>
              <w:widowControl/>
              <w:spacing w:before="100" w:beforeAutospacing="1" w:after="100" w:afterAutospacing="1" w:line="440" w:lineRule="exact"/>
              <w:jc w:val="center"/>
              <w:rPr>
                <w:rFonts w:ascii="宋体" w:hAnsi="宋体" w:cs="宋体"/>
                <w:color w:val="000000"/>
                <w:kern w:val="0"/>
                <w:szCs w:val="21"/>
              </w:rPr>
            </w:pPr>
          </w:p>
        </w:tc>
        <w:tc>
          <w:tcPr>
            <w:tcW w:w="1623" w:type="dxa"/>
            <w:noWrap w:val="0"/>
            <w:vAlign w:val="center"/>
          </w:tcPr>
          <w:p w14:paraId="08FC00A0">
            <w:pPr>
              <w:widowControl/>
              <w:spacing w:before="100" w:beforeAutospacing="1" w:after="100" w:afterAutospacing="1" w:line="440" w:lineRule="exact"/>
              <w:jc w:val="center"/>
              <w:rPr>
                <w:rFonts w:ascii="宋体" w:hAnsi="宋体" w:cs="宋体"/>
                <w:color w:val="000000"/>
                <w:kern w:val="0"/>
                <w:szCs w:val="21"/>
              </w:rPr>
            </w:pPr>
          </w:p>
        </w:tc>
        <w:tc>
          <w:tcPr>
            <w:tcW w:w="1111" w:type="dxa"/>
            <w:noWrap w:val="0"/>
            <w:vAlign w:val="center"/>
          </w:tcPr>
          <w:p w14:paraId="6710E4B7">
            <w:pPr>
              <w:widowControl/>
              <w:spacing w:before="100" w:beforeAutospacing="1" w:after="100" w:afterAutospacing="1" w:line="440" w:lineRule="exact"/>
              <w:jc w:val="center"/>
              <w:rPr>
                <w:rFonts w:ascii="宋体" w:hAnsi="宋体" w:cs="宋体"/>
                <w:color w:val="000000"/>
                <w:kern w:val="0"/>
                <w:szCs w:val="21"/>
              </w:rPr>
            </w:pPr>
            <w:r>
              <w:rPr>
                <w:rFonts w:hint="eastAsia" w:ascii="宋体" w:hAnsi="宋体" w:cs="宋体"/>
                <w:color w:val="000000"/>
                <w:kern w:val="0"/>
                <w:szCs w:val="21"/>
              </w:rPr>
              <w:t xml:space="preserve"> 年   月</w:t>
            </w:r>
          </w:p>
        </w:tc>
        <w:tc>
          <w:tcPr>
            <w:tcW w:w="1687" w:type="dxa"/>
            <w:noWrap w:val="0"/>
            <w:vAlign w:val="center"/>
          </w:tcPr>
          <w:p w14:paraId="2D7D91A7">
            <w:pPr>
              <w:widowControl/>
              <w:spacing w:before="100" w:beforeAutospacing="1" w:after="100" w:afterAutospacing="1" w:line="440" w:lineRule="exact"/>
              <w:jc w:val="center"/>
              <w:rPr>
                <w:rFonts w:ascii="宋体" w:hAnsi="宋体" w:cs="宋体"/>
                <w:color w:val="000000"/>
                <w:kern w:val="0"/>
                <w:szCs w:val="21"/>
              </w:rPr>
            </w:pPr>
          </w:p>
        </w:tc>
        <w:tc>
          <w:tcPr>
            <w:tcW w:w="2638" w:type="dxa"/>
            <w:noWrap w:val="0"/>
            <w:vAlign w:val="center"/>
          </w:tcPr>
          <w:p w14:paraId="217A07FB">
            <w:pPr>
              <w:widowControl/>
              <w:spacing w:before="100" w:beforeAutospacing="1" w:after="100" w:afterAutospacing="1" w:line="440" w:lineRule="exact"/>
              <w:ind w:firstLine="210" w:firstLineChars="100"/>
              <w:rPr>
                <w:rFonts w:ascii="宋体" w:hAnsi="宋体" w:cs="宋体"/>
                <w:color w:val="000000"/>
                <w:kern w:val="0"/>
                <w:szCs w:val="21"/>
              </w:rPr>
            </w:pPr>
            <w:r>
              <w:rPr>
                <w:rFonts w:hint="eastAsia" w:ascii="宋体" w:hAnsi="宋体" w:cs="宋体"/>
                <w:color w:val="000000"/>
                <w:kern w:val="0"/>
                <w:szCs w:val="21"/>
              </w:rPr>
              <w:t>年 月 日至  年 月 日</w:t>
            </w:r>
          </w:p>
        </w:tc>
        <w:tc>
          <w:tcPr>
            <w:tcW w:w="1443" w:type="dxa"/>
            <w:noWrap w:val="0"/>
            <w:vAlign w:val="center"/>
          </w:tcPr>
          <w:p w14:paraId="77E4D04A">
            <w:pPr>
              <w:widowControl/>
              <w:spacing w:before="100" w:beforeAutospacing="1" w:after="100" w:afterAutospacing="1" w:line="440" w:lineRule="exact"/>
              <w:jc w:val="center"/>
              <w:rPr>
                <w:rFonts w:ascii="宋体" w:hAnsi="宋体" w:cs="宋体"/>
                <w:color w:val="000000"/>
                <w:kern w:val="0"/>
                <w:szCs w:val="21"/>
              </w:rPr>
            </w:pPr>
            <w:r>
              <w:rPr>
                <w:rFonts w:hint="eastAsia" w:ascii="宋体" w:hAnsi="宋体" w:cs="宋体"/>
                <w:color w:val="000000"/>
                <w:kern w:val="0"/>
                <w:szCs w:val="21"/>
              </w:rPr>
              <w:t>1500元</w:t>
            </w:r>
          </w:p>
        </w:tc>
      </w:tr>
      <w:tr w14:paraId="335AFB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91" w:type="dxa"/>
            <w:noWrap w:val="0"/>
            <w:vAlign w:val="center"/>
          </w:tcPr>
          <w:p w14:paraId="78F968C0">
            <w:pPr>
              <w:spacing w:before="100" w:beforeAutospacing="1" w:after="100" w:afterAutospacing="1" w:line="440" w:lineRule="exact"/>
              <w:jc w:val="center"/>
              <w:rPr>
                <w:rFonts w:ascii="宋体" w:hAnsi="宋体" w:cs="宋体"/>
                <w:color w:val="000000"/>
                <w:kern w:val="0"/>
                <w:szCs w:val="21"/>
              </w:rPr>
            </w:pPr>
          </w:p>
        </w:tc>
        <w:tc>
          <w:tcPr>
            <w:tcW w:w="850" w:type="dxa"/>
            <w:noWrap w:val="0"/>
            <w:vAlign w:val="center"/>
          </w:tcPr>
          <w:p w14:paraId="4BB6E630">
            <w:pPr>
              <w:widowControl/>
              <w:spacing w:before="100" w:beforeAutospacing="1" w:after="100" w:afterAutospacing="1" w:line="440" w:lineRule="exact"/>
              <w:jc w:val="center"/>
              <w:rPr>
                <w:rFonts w:ascii="宋体" w:hAnsi="宋体" w:cs="宋体"/>
                <w:color w:val="000000"/>
                <w:kern w:val="0"/>
                <w:szCs w:val="21"/>
              </w:rPr>
            </w:pPr>
          </w:p>
        </w:tc>
        <w:tc>
          <w:tcPr>
            <w:tcW w:w="1623" w:type="dxa"/>
            <w:noWrap w:val="0"/>
            <w:vAlign w:val="center"/>
          </w:tcPr>
          <w:p w14:paraId="7ECCC3B7">
            <w:pPr>
              <w:widowControl/>
              <w:spacing w:before="100" w:beforeAutospacing="1" w:after="100" w:afterAutospacing="1" w:line="440" w:lineRule="exact"/>
              <w:jc w:val="center"/>
              <w:rPr>
                <w:rFonts w:ascii="宋体" w:hAnsi="宋体" w:cs="宋体"/>
                <w:color w:val="000000"/>
                <w:kern w:val="0"/>
                <w:szCs w:val="21"/>
              </w:rPr>
            </w:pPr>
          </w:p>
        </w:tc>
        <w:tc>
          <w:tcPr>
            <w:tcW w:w="1111" w:type="dxa"/>
            <w:noWrap w:val="0"/>
            <w:vAlign w:val="center"/>
          </w:tcPr>
          <w:p w14:paraId="6FFF5A2E">
            <w:pPr>
              <w:widowControl/>
              <w:spacing w:before="100" w:beforeAutospacing="1" w:after="100" w:afterAutospacing="1" w:line="440" w:lineRule="exact"/>
              <w:jc w:val="center"/>
              <w:rPr>
                <w:rFonts w:ascii="宋体" w:hAnsi="宋体" w:cs="宋体"/>
                <w:color w:val="000000"/>
                <w:kern w:val="0"/>
                <w:szCs w:val="21"/>
              </w:rPr>
            </w:pPr>
          </w:p>
        </w:tc>
        <w:tc>
          <w:tcPr>
            <w:tcW w:w="1687" w:type="dxa"/>
            <w:noWrap w:val="0"/>
            <w:vAlign w:val="center"/>
          </w:tcPr>
          <w:p w14:paraId="46761935">
            <w:pPr>
              <w:widowControl/>
              <w:spacing w:before="100" w:beforeAutospacing="1" w:after="100" w:afterAutospacing="1" w:line="440" w:lineRule="exact"/>
              <w:jc w:val="center"/>
              <w:rPr>
                <w:rFonts w:ascii="宋体" w:hAnsi="宋体" w:cs="宋体"/>
                <w:color w:val="000000"/>
                <w:kern w:val="0"/>
                <w:szCs w:val="21"/>
              </w:rPr>
            </w:pPr>
          </w:p>
        </w:tc>
        <w:tc>
          <w:tcPr>
            <w:tcW w:w="2638" w:type="dxa"/>
            <w:noWrap w:val="0"/>
            <w:vAlign w:val="center"/>
          </w:tcPr>
          <w:p w14:paraId="21DE1AC8">
            <w:pPr>
              <w:widowControl/>
              <w:spacing w:before="100" w:beforeAutospacing="1" w:after="100" w:afterAutospacing="1" w:line="440" w:lineRule="exact"/>
              <w:jc w:val="center"/>
              <w:rPr>
                <w:rFonts w:ascii="宋体" w:hAnsi="宋体" w:cs="宋体"/>
                <w:color w:val="000000"/>
                <w:kern w:val="0"/>
                <w:szCs w:val="21"/>
              </w:rPr>
            </w:pPr>
          </w:p>
        </w:tc>
        <w:tc>
          <w:tcPr>
            <w:tcW w:w="1443" w:type="dxa"/>
            <w:noWrap w:val="0"/>
            <w:vAlign w:val="center"/>
          </w:tcPr>
          <w:p w14:paraId="2911F3E6">
            <w:pPr>
              <w:widowControl/>
              <w:spacing w:before="100" w:beforeAutospacing="1" w:after="100" w:afterAutospacing="1" w:line="440" w:lineRule="exact"/>
              <w:jc w:val="center"/>
              <w:rPr>
                <w:rFonts w:ascii="宋体" w:hAnsi="宋体" w:cs="宋体"/>
                <w:color w:val="000000"/>
                <w:kern w:val="0"/>
                <w:szCs w:val="21"/>
              </w:rPr>
            </w:pPr>
          </w:p>
        </w:tc>
      </w:tr>
      <w:tr w14:paraId="5D7C670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91" w:type="dxa"/>
            <w:noWrap w:val="0"/>
            <w:vAlign w:val="center"/>
          </w:tcPr>
          <w:p w14:paraId="0834CE54">
            <w:pPr>
              <w:spacing w:before="100" w:beforeAutospacing="1" w:after="100" w:afterAutospacing="1" w:line="440" w:lineRule="exact"/>
              <w:jc w:val="center"/>
              <w:rPr>
                <w:rFonts w:ascii="宋体" w:hAnsi="宋体" w:cs="宋体"/>
                <w:color w:val="000000"/>
                <w:kern w:val="0"/>
                <w:szCs w:val="21"/>
              </w:rPr>
            </w:pPr>
          </w:p>
        </w:tc>
        <w:tc>
          <w:tcPr>
            <w:tcW w:w="850" w:type="dxa"/>
            <w:noWrap w:val="0"/>
            <w:vAlign w:val="center"/>
          </w:tcPr>
          <w:p w14:paraId="7BD59A95">
            <w:pPr>
              <w:widowControl/>
              <w:spacing w:before="100" w:beforeAutospacing="1" w:after="100" w:afterAutospacing="1" w:line="440" w:lineRule="exact"/>
              <w:jc w:val="center"/>
              <w:rPr>
                <w:rFonts w:ascii="宋体" w:hAnsi="宋体" w:cs="宋体"/>
                <w:color w:val="000000"/>
                <w:kern w:val="0"/>
                <w:szCs w:val="21"/>
              </w:rPr>
            </w:pPr>
          </w:p>
        </w:tc>
        <w:tc>
          <w:tcPr>
            <w:tcW w:w="1623" w:type="dxa"/>
            <w:noWrap w:val="0"/>
            <w:vAlign w:val="center"/>
          </w:tcPr>
          <w:p w14:paraId="2924DF2D">
            <w:pPr>
              <w:widowControl/>
              <w:spacing w:before="100" w:beforeAutospacing="1" w:after="100" w:afterAutospacing="1" w:line="440" w:lineRule="exact"/>
              <w:jc w:val="center"/>
              <w:rPr>
                <w:rFonts w:ascii="宋体" w:hAnsi="宋体" w:cs="宋体"/>
                <w:color w:val="000000"/>
                <w:kern w:val="0"/>
                <w:szCs w:val="21"/>
              </w:rPr>
            </w:pPr>
          </w:p>
        </w:tc>
        <w:tc>
          <w:tcPr>
            <w:tcW w:w="1111" w:type="dxa"/>
            <w:noWrap w:val="0"/>
            <w:vAlign w:val="center"/>
          </w:tcPr>
          <w:p w14:paraId="5FD70228">
            <w:pPr>
              <w:spacing w:before="100" w:beforeAutospacing="1" w:after="100" w:afterAutospacing="1" w:line="440" w:lineRule="exact"/>
              <w:jc w:val="center"/>
              <w:rPr>
                <w:rFonts w:ascii="宋体" w:hAnsi="宋体" w:cs="宋体"/>
                <w:color w:val="000000"/>
                <w:kern w:val="0"/>
                <w:szCs w:val="21"/>
              </w:rPr>
            </w:pPr>
          </w:p>
        </w:tc>
        <w:tc>
          <w:tcPr>
            <w:tcW w:w="1687" w:type="dxa"/>
            <w:noWrap w:val="0"/>
            <w:vAlign w:val="center"/>
          </w:tcPr>
          <w:p w14:paraId="39DFDC0B">
            <w:pPr>
              <w:widowControl/>
              <w:spacing w:before="100" w:beforeAutospacing="1" w:after="100" w:afterAutospacing="1" w:line="440" w:lineRule="exact"/>
              <w:jc w:val="center"/>
              <w:rPr>
                <w:rFonts w:ascii="宋体" w:hAnsi="宋体" w:cs="宋体"/>
                <w:color w:val="000000"/>
                <w:kern w:val="0"/>
                <w:szCs w:val="21"/>
              </w:rPr>
            </w:pPr>
          </w:p>
        </w:tc>
        <w:tc>
          <w:tcPr>
            <w:tcW w:w="2638" w:type="dxa"/>
            <w:noWrap w:val="0"/>
            <w:vAlign w:val="center"/>
          </w:tcPr>
          <w:p w14:paraId="73DEEDEA">
            <w:pPr>
              <w:widowControl/>
              <w:spacing w:before="100" w:beforeAutospacing="1" w:after="100" w:afterAutospacing="1" w:line="440" w:lineRule="exact"/>
              <w:jc w:val="center"/>
              <w:rPr>
                <w:rFonts w:ascii="宋体" w:hAnsi="宋体" w:cs="宋体"/>
                <w:color w:val="000000"/>
                <w:kern w:val="0"/>
                <w:szCs w:val="21"/>
              </w:rPr>
            </w:pPr>
          </w:p>
        </w:tc>
        <w:tc>
          <w:tcPr>
            <w:tcW w:w="1443" w:type="dxa"/>
            <w:noWrap w:val="0"/>
            <w:vAlign w:val="center"/>
          </w:tcPr>
          <w:p w14:paraId="7DE013A0">
            <w:pPr>
              <w:widowControl/>
              <w:spacing w:before="100" w:beforeAutospacing="1" w:after="100" w:afterAutospacing="1" w:line="440" w:lineRule="exact"/>
              <w:jc w:val="center"/>
              <w:rPr>
                <w:rFonts w:ascii="宋体" w:hAnsi="宋体" w:cs="宋体"/>
                <w:color w:val="000000"/>
                <w:kern w:val="0"/>
                <w:szCs w:val="21"/>
              </w:rPr>
            </w:pPr>
          </w:p>
        </w:tc>
      </w:tr>
      <w:tr w14:paraId="04F5208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0" w:hRule="atLeast"/>
          <w:jc w:val="center"/>
        </w:trPr>
        <w:tc>
          <w:tcPr>
            <w:tcW w:w="691" w:type="dxa"/>
            <w:noWrap w:val="0"/>
            <w:vAlign w:val="center"/>
          </w:tcPr>
          <w:p w14:paraId="44A2F117">
            <w:pPr>
              <w:spacing w:before="100" w:beforeAutospacing="1" w:after="100" w:afterAutospacing="1" w:line="440" w:lineRule="exact"/>
              <w:jc w:val="center"/>
              <w:rPr>
                <w:rFonts w:ascii="宋体" w:hAnsi="宋体" w:cs="宋体"/>
                <w:color w:val="000000"/>
                <w:kern w:val="0"/>
                <w:szCs w:val="21"/>
              </w:rPr>
            </w:pPr>
          </w:p>
        </w:tc>
        <w:tc>
          <w:tcPr>
            <w:tcW w:w="850" w:type="dxa"/>
            <w:noWrap w:val="0"/>
            <w:vAlign w:val="center"/>
          </w:tcPr>
          <w:p w14:paraId="3758DDBB">
            <w:pPr>
              <w:widowControl/>
              <w:spacing w:before="100" w:beforeAutospacing="1" w:after="100" w:afterAutospacing="1" w:line="440" w:lineRule="exact"/>
              <w:jc w:val="center"/>
              <w:rPr>
                <w:rFonts w:ascii="宋体" w:hAnsi="宋体" w:cs="宋体"/>
                <w:color w:val="000000"/>
                <w:kern w:val="0"/>
                <w:szCs w:val="21"/>
              </w:rPr>
            </w:pPr>
          </w:p>
        </w:tc>
        <w:tc>
          <w:tcPr>
            <w:tcW w:w="1623" w:type="dxa"/>
            <w:noWrap w:val="0"/>
            <w:vAlign w:val="center"/>
          </w:tcPr>
          <w:p w14:paraId="584FBABE">
            <w:pPr>
              <w:widowControl/>
              <w:spacing w:before="100" w:beforeAutospacing="1" w:after="100" w:afterAutospacing="1" w:line="440" w:lineRule="exact"/>
              <w:jc w:val="center"/>
              <w:rPr>
                <w:rFonts w:ascii="宋体" w:hAnsi="宋体" w:cs="宋体"/>
                <w:color w:val="000000"/>
                <w:kern w:val="0"/>
                <w:szCs w:val="21"/>
              </w:rPr>
            </w:pPr>
          </w:p>
        </w:tc>
        <w:tc>
          <w:tcPr>
            <w:tcW w:w="1111" w:type="dxa"/>
            <w:noWrap w:val="0"/>
            <w:vAlign w:val="center"/>
          </w:tcPr>
          <w:p w14:paraId="0DFE59E6">
            <w:pPr>
              <w:spacing w:before="100" w:beforeAutospacing="1" w:after="100" w:afterAutospacing="1" w:line="440" w:lineRule="exact"/>
              <w:jc w:val="center"/>
              <w:rPr>
                <w:rFonts w:ascii="宋体" w:hAnsi="宋体" w:cs="宋体"/>
                <w:color w:val="000000"/>
                <w:kern w:val="0"/>
                <w:szCs w:val="21"/>
              </w:rPr>
            </w:pPr>
          </w:p>
        </w:tc>
        <w:tc>
          <w:tcPr>
            <w:tcW w:w="1687" w:type="dxa"/>
            <w:noWrap w:val="0"/>
            <w:vAlign w:val="center"/>
          </w:tcPr>
          <w:p w14:paraId="4DD3002D">
            <w:pPr>
              <w:widowControl/>
              <w:spacing w:before="100" w:beforeAutospacing="1" w:after="100" w:afterAutospacing="1" w:line="440" w:lineRule="exact"/>
              <w:jc w:val="center"/>
              <w:rPr>
                <w:rFonts w:ascii="宋体" w:hAnsi="宋体" w:cs="宋体"/>
                <w:color w:val="000000"/>
                <w:kern w:val="0"/>
                <w:szCs w:val="21"/>
              </w:rPr>
            </w:pPr>
          </w:p>
        </w:tc>
        <w:tc>
          <w:tcPr>
            <w:tcW w:w="2638" w:type="dxa"/>
            <w:noWrap w:val="0"/>
            <w:vAlign w:val="center"/>
          </w:tcPr>
          <w:p w14:paraId="1862CCF2">
            <w:pPr>
              <w:widowControl/>
              <w:spacing w:before="100" w:beforeAutospacing="1" w:after="100" w:afterAutospacing="1" w:line="440" w:lineRule="exact"/>
              <w:jc w:val="center"/>
              <w:rPr>
                <w:rFonts w:ascii="宋体" w:hAnsi="宋体" w:cs="宋体"/>
                <w:color w:val="000000"/>
                <w:kern w:val="0"/>
                <w:szCs w:val="21"/>
              </w:rPr>
            </w:pPr>
          </w:p>
        </w:tc>
        <w:tc>
          <w:tcPr>
            <w:tcW w:w="1443" w:type="dxa"/>
            <w:noWrap w:val="0"/>
            <w:vAlign w:val="center"/>
          </w:tcPr>
          <w:p w14:paraId="6BA849FC">
            <w:pPr>
              <w:widowControl/>
              <w:spacing w:before="100" w:beforeAutospacing="1" w:after="100" w:afterAutospacing="1" w:line="440" w:lineRule="exact"/>
              <w:jc w:val="center"/>
              <w:rPr>
                <w:rFonts w:ascii="宋体" w:hAnsi="宋体" w:cs="宋体"/>
                <w:color w:val="000000"/>
                <w:kern w:val="0"/>
                <w:szCs w:val="21"/>
              </w:rPr>
            </w:pPr>
          </w:p>
        </w:tc>
      </w:tr>
    </w:tbl>
    <w:p w14:paraId="144C53F2">
      <w:pPr>
        <w:spacing w:line="592" w:lineRule="exact"/>
        <w:rPr>
          <w:rFonts w:ascii="宋体" w:hAnsi="宋体" w:eastAsia="仿宋_GB2312"/>
          <w:color w:val="000000"/>
          <w:sz w:val="32"/>
          <w:szCs w:val="32"/>
        </w:rPr>
      </w:pPr>
    </w:p>
    <w:p w14:paraId="0507549C">
      <w:pPr>
        <w:widowControl/>
        <w:spacing w:before="100" w:beforeAutospacing="1" w:after="100" w:afterAutospacing="1" w:line="592" w:lineRule="exact"/>
        <w:jc w:val="center"/>
        <w:rPr>
          <w:rFonts w:ascii="宋体" w:hAnsi="宋体" w:eastAsia="仿宋_GB2312" w:cs="宋体"/>
          <w:color w:val="000000"/>
          <w:kern w:val="0"/>
          <w:sz w:val="32"/>
          <w:szCs w:val="32"/>
        </w:rPr>
      </w:pPr>
      <w:r>
        <w:rPr>
          <w:rFonts w:hint="eastAsia" w:ascii="宋体" w:hAnsi="宋体" w:eastAsia="仿宋_GB2312" w:cs="宋体"/>
          <w:color w:val="000000"/>
          <w:kern w:val="0"/>
          <w:sz w:val="32"/>
          <w:szCs w:val="32"/>
        </w:rPr>
        <w:t xml:space="preserve">                        （公章）</w:t>
      </w:r>
    </w:p>
    <w:p w14:paraId="259CB6D6">
      <w:pPr>
        <w:widowControl/>
        <w:spacing w:before="100" w:beforeAutospacing="1" w:after="100" w:afterAutospacing="1" w:line="592" w:lineRule="exact"/>
        <w:ind w:right="160"/>
        <w:jc w:val="center"/>
        <w:rPr>
          <w:rFonts w:hint="eastAsia" w:ascii="宋体" w:hAnsi="宋体" w:eastAsia="仿宋_GB2312" w:cs="宋体"/>
          <w:color w:val="000000"/>
          <w:kern w:val="0"/>
          <w:sz w:val="32"/>
          <w:szCs w:val="32"/>
        </w:rPr>
      </w:pPr>
      <w:r>
        <w:rPr>
          <w:rFonts w:hint="eastAsia" w:ascii="宋体" w:hAnsi="宋体" w:eastAsia="仿宋_GB2312" w:cs="宋体"/>
          <w:color w:val="000000"/>
          <w:kern w:val="0"/>
          <w:sz w:val="32"/>
          <w:szCs w:val="32"/>
        </w:rPr>
        <w:t xml:space="preserve">                        年   月   日</w:t>
      </w:r>
    </w:p>
    <w:p w14:paraId="3911BF05">
      <w:pPr>
        <w:widowControl/>
        <w:spacing w:before="100" w:beforeAutospacing="1" w:after="100" w:afterAutospacing="1" w:line="592" w:lineRule="exact"/>
        <w:ind w:right="160"/>
        <w:rPr>
          <w:rFonts w:ascii="宋体" w:hAnsi="宋体" w:eastAsia="仿宋_GB2312" w:cs="宋体"/>
          <w:color w:val="000000"/>
          <w:kern w:val="0"/>
          <w:sz w:val="32"/>
          <w:szCs w:val="32"/>
        </w:rPr>
      </w:pPr>
      <w:r>
        <w:rPr>
          <w:rFonts w:hint="eastAsia" w:ascii="宋体" w:hAnsi="宋体" w:eastAsia="仿宋_GB2312" w:cs="宋体"/>
          <w:color w:val="000000"/>
          <w:kern w:val="0"/>
          <w:sz w:val="32"/>
          <w:szCs w:val="32"/>
        </w:rPr>
        <w:t>附件4</w:t>
      </w:r>
    </w:p>
    <w:p w14:paraId="2BB9F595">
      <w:pPr>
        <w:jc w:val="center"/>
        <w:rPr>
          <w:rFonts w:hint="eastAsia" w:ascii="黑体" w:hAnsi="黑体" w:eastAsia="黑体" w:cs="黑体"/>
          <w:sz w:val="32"/>
          <w:szCs w:val="32"/>
        </w:rPr>
      </w:pPr>
      <w:r>
        <w:rPr>
          <w:rFonts w:hint="eastAsia" w:ascii="黑体" w:hAnsi="黑体" w:eastAsia="黑体" w:cs="黑体"/>
          <w:sz w:val="32"/>
          <w:szCs w:val="32"/>
        </w:rPr>
        <w:t>一次性扩岗补助有关业务操作说明书</w:t>
      </w:r>
    </w:p>
    <w:p w14:paraId="32AB25BA">
      <w:pPr>
        <w:numPr>
          <w:ilvl w:val="0"/>
          <w:numId w:val="2"/>
        </w:numPr>
        <w:jc w:val="left"/>
        <w:rPr>
          <w:rFonts w:hint="eastAsia" w:ascii="仿宋" w:hAnsi="仿宋" w:eastAsia="仿宋" w:cs="仿宋"/>
          <w:sz w:val="30"/>
          <w:szCs w:val="30"/>
        </w:rPr>
      </w:pPr>
      <w:r>
        <w:rPr>
          <w:rFonts w:hint="eastAsia" w:ascii="仿宋" w:hAnsi="仿宋" w:eastAsia="仿宋" w:cs="仿宋"/>
          <w:b/>
          <w:bCs/>
          <w:sz w:val="30"/>
          <w:szCs w:val="30"/>
        </w:rPr>
        <w:t>一次性扩岗补助申请：</w:t>
      </w:r>
    </w:p>
    <w:p w14:paraId="707C7E81">
      <w:pPr>
        <w:jc w:val="left"/>
        <w:rPr>
          <w:rFonts w:hint="eastAsia" w:ascii="仿宋" w:hAnsi="仿宋" w:eastAsia="仿宋" w:cs="仿宋"/>
          <w:sz w:val="30"/>
          <w:szCs w:val="30"/>
        </w:rPr>
      </w:pPr>
      <w:r>
        <w:rPr>
          <w:rFonts w:hint="eastAsia" w:ascii="仿宋" w:hAnsi="仿宋" w:eastAsia="仿宋" w:cs="仿宋"/>
          <w:b/>
          <w:bCs/>
          <w:sz w:val="30"/>
          <w:szCs w:val="30"/>
        </w:rPr>
        <w:t>业务流程位置：</w:t>
      </w:r>
      <w:r>
        <w:rPr>
          <w:rFonts w:hint="eastAsia" w:ascii="仿宋" w:hAnsi="仿宋" w:eastAsia="仿宋" w:cs="仿宋"/>
          <w:sz w:val="30"/>
          <w:szCs w:val="30"/>
        </w:rPr>
        <w:t>综合业务-职工失业支付-一次性扩岗补助申请</w:t>
      </w:r>
    </w:p>
    <w:p w14:paraId="5B16516F">
      <w:pPr>
        <w:jc w:val="left"/>
        <w:rPr>
          <w:rFonts w:hint="eastAsia" w:ascii="仿宋" w:hAnsi="仿宋" w:eastAsia="仿宋" w:cs="仿宋"/>
          <w:sz w:val="30"/>
          <w:szCs w:val="30"/>
        </w:rPr>
      </w:pPr>
      <w:r>
        <w:rPr>
          <w:rFonts w:hint="eastAsia" w:ascii="仿宋" w:hAnsi="仿宋" w:eastAsia="仿宋" w:cs="仿宋"/>
          <w:b/>
          <w:bCs/>
          <w:sz w:val="30"/>
          <w:szCs w:val="30"/>
        </w:rPr>
        <w:t>业务流程PDID：</w:t>
      </w:r>
      <w:r>
        <w:rPr>
          <w:rFonts w:hint="eastAsia" w:ascii="仿宋" w:hAnsi="仿宋" w:eastAsia="仿宋" w:cs="仿宋"/>
          <w:sz w:val="30"/>
          <w:szCs w:val="30"/>
        </w:rPr>
        <w:t>LgYcxkgbzSq</w:t>
      </w:r>
    </w:p>
    <w:p w14:paraId="79614A48">
      <w:pPr>
        <w:rPr>
          <w:rFonts w:ascii="仿宋" w:hAnsi="仿宋" w:eastAsia="仿宋" w:cs="仿宋"/>
          <w:sz w:val="30"/>
          <w:szCs w:val="30"/>
        </w:rPr>
      </w:pPr>
      <w:r>
        <w:rPr>
          <w:rFonts w:hint="eastAsia" w:ascii="仿宋" w:hAnsi="仿宋" w:eastAsia="仿宋" w:cs="仿宋"/>
          <w:sz w:val="30"/>
          <w:szCs w:val="30"/>
        </w:rPr>
        <w:t>业务办理入口如下图所示：</w:t>
      </w:r>
    </w:p>
    <w:p w14:paraId="1627D851">
      <w:pPr>
        <w:jc w:val="left"/>
      </w:pPr>
      <w:r>
        <w:drawing>
          <wp:inline distT="0" distB="0" distL="114300" distR="114300">
            <wp:extent cx="5268595" cy="2320925"/>
            <wp:effectExtent l="0" t="0" r="8255" b="3175"/>
            <wp:docPr id="1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
                    <pic:cNvPicPr>
                      <a:picLocks noChangeAspect="1"/>
                    </pic:cNvPicPr>
                  </pic:nvPicPr>
                  <pic:blipFill>
                    <a:blip r:embed="rId5"/>
                    <a:stretch>
                      <a:fillRect/>
                    </a:stretch>
                  </pic:blipFill>
                  <pic:spPr>
                    <a:xfrm>
                      <a:off x="0" y="0"/>
                      <a:ext cx="5268595" cy="2320925"/>
                    </a:xfrm>
                    <a:prstGeom prst="rect">
                      <a:avLst/>
                    </a:prstGeom>
                    <a:noFill/>
                    <a:ln>
                      <a:noFill/>
                    </a:ln>
                  </pic:spPr>
                </pic:pic>
              </a:graphicData>
            </a:graphic>
          </wp:inline>
        </w:drawing>
      </w:r>
    </w:p>
    <w:p w14:paraId="6C32882A">
      <w:pPr>
        <w:rPr>
          <w:rFonts w:hint="eastAsia" w:ascii="仿宋" w:hAnsi="仿宋" w:eastAsia="仿宋" w:cs="仿宋"/>
          <w:sz w:val="30"/>
          <w:szCs w:val="30"/>
        </w:rPr>
      </w:pPr>
      <w:r>
        <w:rPr>
          <w:rFonts w:hint="eastAsia" w:ascii="仿宋" w:hAnsi="仿宋" w:eastAsia="仿宋" w:cs="仿宋"/>
          <w:sz w:val="30"/>
          <w:szCs w:val="30"/>
        </w:rPr>
        <w:t>点击进入业务操作界面，如下图所示：</w:t>
      </w:r>
    </w:p>
    <w:p w14:paraId="3259FDED">
      <w:pPr>
        <w:jc w:val="left"/>
      </w:pPr>
      <w:r>
        <w:drawing>
          <wp:inline distT="0" distB="0" distL="114300" distR="114300">
            <wp:extent cx="5273675" cy="3058795"/>
            <wp:effectExtent l="0" t="0" r="3175" b="8255"/>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6"/>
                    <a:stretch>
                      <a:fillRect/>
                    </a:stretch>
                  </pic:blipFill>
                  <pic:spPr>
                    <a:xfrm>
                      <a:off x="0" y="0"/>
                      <a:ext cx="5273675" cy="3058795"/>
                    </a:xfrm>
                    <a:prstGeom prst="rect">
                      <a:avLst/>
                    </a:prstGeom>
                    <a:noFill/>
                    <a:ln>
                      <a:noFill/>
                    </a:ln>
                  </pic:spPr>
                </pic:pic>
              </a:graphicData>
            </a:graphic>
          </wp:inline>
        </w:drawing>
      </w:r>
    </w:p>
    <w:p w14:paraId="48EF2681">
      <w:pPr>
        <w:jc w:val="left"/>
      </w:pPr>
      <w:r>
        <w:rPr>
          <w:rFonts w:hint="eastAsia" w:ascii="仿宋" w:hAnsi="仿宋" w:eastAsia="仿宋" w:cs="仿宋"/>
          <w:sz w:val="30"/>
          <w:szCs w:val="30"/>
        </w:rPr>
        <w:t>点击导入报盘文件，选择需要导入的报盘，点击确定；</w:t>
      </w:r>
    </w:p>
    <w:p w14:paraId="73EA9CDA">
      <w:pPr>
        <w:jc w:val="left"/>
      </w:pPr>
      <w:r>
        <w:drawing>
          <wp:inline distT="0" distB="0" distL="114300" distR="114300">
            <wp:extent cx="5266690" cy="3162300"/>
            <wp:effectExtent l="0" t="0" r="10160" b="0"/>
            <wp:docPr id="12"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pic:cNvPicPr>
                  </pic:nvPicPr>
                  <pic:blipFill>
                    <a:blip r:embed="rId7"/>
                    <a:stretch>
                      <a:fillRect/>
                    </a:stretch>
                  </pic:blipFill>
                  <pic:spPr>
                    <a:xfrm>
                      <a:off x="0" y="0"/>
                      <a:ext cx="5266690" cy="3162300"/>
                    </a:xfrm>
                    <a:prstGeom prst="rect">
                      <a:avLst/>
                    </a:prstGeom>
                    <a:noFill/>
                    <a:ln>
                      <a:noFill/>
                    </a:ln>
                  </pic:spPr>
                </pic:pic>
              </a:graphicData>
            </a:graphic>
          </wp:inline>
        </w:drawing>
      </w:r>
    </w:p>
    <w:p w14:paraId="06DD392A">
      <w:pPr>
        <w:jc w:val="left"/>
      </w:pPr>
      <w:r>
        <w:rPr>
          <w:rFonts w:hint="eastAsia" w:ascii="仿宋" w:hAnsi="仿宋" w:eastAsia="仿宋" w:cs="仿宋"/>
          <w:sz w:val="30"/>
          <w:szCs w:val="30"/>
        </w:rPr>
        <w:t>查看导入信息是否正确是否成功后，点击下一步；</w:t>
      </w:r>
    </w:p>
    <w:p w14:paraId="335A971D">
      <w:pPr>
        <w:jc w:val="left"/>
      </w:pPr>
      <w:r>
        <w:drawing>
          <wp:inline distT="0" distB="0" distL="114300" distR="114300">
            <wp:extent cx="5269230" cy="3141345"/>
            <wp:effectExtent l="0" t="0" r="7620" b="190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8"/>
                    <a:stretch>
                      <a:fillRect/>
                    </a:stretch>
                  </pic:blipFill>
                  <pic:spPr>
                    <a:xfrm>
                      <a:off x="0" y="0"/>
                      <a:ext cx="5269230" cy="3141345"/>
                    </a:xfrm>
                    <a:prstGeom prst="rect">
                      <a:avLst/>
                    </a:prstGeom>
                    <a:noFill/>
                    <a:ln>
                      <a:noFill/>
                    </a:ln>
                  </pic:spPr>
                </pic:pic>
              </a:graphicData>
            </a:graphic>
          </wp:inline>
        </w:drawing>
      </w:r>
      <w:r>
        <w:rPr>
          <w:rFonts w:hint="eastAsia" w:ascii="仿宋" w:hAnsi="仿宋" w:eastAsia="仿宋" w:cs="仿宋"/>
          <w:sz w:val="30"/>
          <w:szCs w:val="30"/>
        </w:rPr>
        <w:t>进入扫描材料页面，再点击下一步；</w:t>
      </w:r>
      <w:r>
        <w:drawing>
          <wp:inline distT="0" distB="0" distL="114300" distR="114300">
            <wp:extent cx="5272405" cy="3208655"/>
            <wp:effectExtent l="0" t="0" r="4445" b="10795"/>
            <wp:docPr id="9"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5"/>
                    <pic:cNvPicPr>
                      <a:picLocks noChangeAspect="1"/>
                    </pic:cNvPicPr>
                  </pic:nvPicPr>
                  <pic:blipFill>
                    <a:blip r:embed="rId9"/>
                    <a:stretch>
                      <a:fillRect/>
                    </a:stretch>
                  </pic:blipFill>
                  <pic:spPr>
                    <a:xfrm>
                      <a:off x="0" y="0"/>
                      <a:ext cx="5272405" cy="3208655"/>
                    </a:xfrm>
                    <a:prstGeom prst="rect">
                      <a:avLst/>
                    </a:prstGeom>
                    <a:noFill/>
                    <a:ln>
                      <a:noFill/>
                    </a:ln>
                  </pic:spPr>
                </pic:pic>
              </a:graphicData>
            </a:graphic>
          </wp:inline>
        </w:drawing>
      </w:r>
    </w:p>
    <w:p w14:paraId="24575446">
      <w:pPr>
        <w:jc w:val="left"/>
      </w:pPr>
      <w:r>
        <w:rPr>
          <w:rFonts w:hint="eastAsia" w:ascii="仿宋" w:hAnsi="仿宋" w:eastAsia="仿宋" w:cs="仿宋"/>
          <w:sz w:val="28"/>
          <w:szCs w:val="28"/>
        </w:rPr>
        <w:t>进入一次性扩岗补助初审页面，选择初审结果后，点击下一步；</w:t>
      </w:r>
    </w:p>
    <w:p w14:paraId="19CEAB39">
      <w:pPr>
        <w:jc w:val="left"/>
      </w:pPr>
      <w:r>
        <w:drawing>
          <wp:inline distT="0" distB="0" distL="114300" distR="114300">
            <wp:extent cx="5272405" cy="3131820"/>
            <wp:effectExtent l="0" t="0" r="4445" b="11430"/>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10"/>
                    <a:stretch>
                      <a:fillRect/>
                    </a:stretch>
                  </pic:blipFill>
                  <pic:spPr>
                    <a:xfrm>
                      <a:off x="0" y="0"/>
                      <a:ext cx="5272405" cy="3131820"/>
                    </a:xfrm>
                    <a:prstGeom prst="rect">
                      <a:avLst/>
                    </a:prstGeom>
                    <a:noFill/>
                    <a:ln>
                      <a:noFill/>
                    </a:ln>
                  </pic:spPr>
                </pic:pic>
              </a:graphicData>
            </a:graphic>
          </wp:inline>
        </w:drawing>
      </w:r>
    </w:p>
    <w:p w14:paraId="5945230C">
      <w:pPr>
        <w:jc w:val="left"/>
      </w:pPr>
      <w:r>
        <w:rPr>
          <w:rFonts w:hint="eastAsia" w:ascii="仿宋" w:hAnsi="仿宋" w:eastAsia="仿宋" w:cs="仿宋"/>
          <w:sz w:val="28"/>
          <w:szCs w:val="28"/>
        </w:rPr>
        <w:t>进入一次性扩岗补助复核页面，选择符合结果后，点击下一步，业务结束。</w:t>
      </w:r>
    </w:p>
    <w:p w14:paraId="539D3D37">
      <w:pPr>
        <w:jc w:val="left"/>
        <w:rPr>
          <w:rFonts w:hint="eastAsia" w:ascii="仿宋" w:hAnsi="仿宋" w:eastAsia="仿宋" w:cs="仿宋"/>
          <w:sz w:val="30"/>
          <w:szCs w:val="30"/>
        </w:rPr>
      </w:pPr>
      <w:r>
        <w:drawing>
          <wp:inline distT="0" distB="0" distL="114300" distR="114300">
            <wp:extent cx="5264785" cy="3164205"/>
            <wp:effectExtent l="0" t="0" r="12065" b="17145"/>
            <wp:docPr id="3"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pic:cNvPicPr>
                      <a:picLocks noChangeAspect="1"/>
                    </pic:cNvPicPr>
                  </pic:nvPicPr>
                  <pic:blipFill>
                    <a:blip r:embed="rId11"/>
                    <a:stretch>
                      <a:fillRect/>
                    </a:stretch>
                  </pic:blipFill>
                  <pic:spPr>
                    <a:xfrm>
                      <a:off x="0" y="0"/>
                      <a:ext cx="5264785" cy="3164205"/>
                    </a:xfrm>
                    <a:prstGeom prst="rect">
                      <a:avLst/>
                    </a:prstGeom>
                    <a:noFill/>
                    <a:ln>
                      <a:noFill/>
                    </a:ln>
                  </pic:spPr>
                </pic:pic>
              </a:graphicData>
            </a:graphic>
          </wp:inline>
        </w:drawing>
      </w:r>
    </w:p>
    <w:p w14:paraId="7E119643">
      <w:pPr>
        <w:jc w:val="left"/>
        <w:rPr>
          <w:rFonts w:hint="eastAsia" w:ascii="仿宋" w:hAnsi="仿宋" w:eastAsia="仿宋" w:cs="仿宋"/>
          <w:sz w:val="30"/>
          <w:szCs w:val="30"/>
        </w:rPr>
      </w:pPr>
      <w:r>
        <w:rPr>
          <w:rFonts w:hint="eastAsia" w:ascii="仿宋" w:hAnsi="仿宋" w:eastAsia="仿宋" w:cs="仿宋"/>
          <w:sz w:val="30"/>
          <w:szCs w:val="30"/>
        </w:rPr>
        <w:t>操作步骤：</w:t>
      </w:r>
    </w:p>
    <w:p w14:paraId="7F0B25BF">
      <w:pPr>
        <w:numPr>
          <w:ilvl w:val="0"/>
          <w:numId w:val="3"/>
        </w:numPr>
        <w:jc w:val="left"/>
        <w:rPr>
          <w:rFonts w:hint="eastAsia" w:ascii="仿宋" w:hAnsi="仿宋" w:eastAsia="仿宋" w:cs="仿宋"/>
          <w:sz w:val="30"/>
          <w:szCs w:val="30"/>
        </w:rPr>
      </w:pPr>
      <w:r>
        <w:rPr>
          <w:rFonts w:hint="eastAsia" w:ascii="仿宋" w:hAnsi="仿宋" w:eastAsia="仿宋" w:cs="仿宋"/>
          <w:sz w:val="30"/>
          <w:szCs w:val="30"/>
        </w:rPr>
        <w:t>点击一次性扩岗补助申请；</w:t>
      </w:r>
    </w:p>
    <w:p w14:paraId="4E19887D">
      <w:pPr>
        <w:numPr>
          <w:ilvl w:val="0"/>
          <w:numId w:val="3"/>
        </w:numPr>
        <w:jc w:val="left"/>
        <w:rPr>
          <w:rFonts w:ascii="仿宋" w:hAnsi="仿宋" w:eastAsia="仿宋" w:cs="仿宋"/>
          <w:sz w:val="30"/>
          <w:szCs w:val="30"/>
        </w:rPr>
      </w:pPr>
      <w:r>
        <w:rPr>
          <w:rFonts w:hint="eastAsia" w:ascii="仿宋" w:hAnsi="仿宋" w:eastAsia="仿宋" w:cs="仿宋"/>
          <w:sz w:val="30"/>
          <w:szCs w:val="30"/>
        </w:rPr>
        <w:t>点击导入报盘文件，选择需要导入的报盘；</w:t>
      </w:r>
    </w:p>
    <w:p w14:paraId="76B973F0">
      <w:pPr>
        <w:numPr>
          <w:ilvl w:val="0"/>
          <w:numId w:val="3"/>
        </w:numPr>
        <w:jc w:val="left"/>
        <w:rPr>
          <w:rFonts w:ascii="仿宋" w:hAnsi="仿宋" w:eastAsia="仿宋" w:cs="仿宋"/>
          <w:sz w:val="30"/>
          <w:szCs w:val="30"/>
        </w:rPr>
      </w:pPr>
      <w:r>
        <w:rPr>
          <w:rFonts w:hint="eastAsia" w:ascii="仿宋" w:hAnsi="仿宋" w:eastAsia="仿宋" w:cs="仿宋"/>
          <w:sz w:val="30"/>
          <w:szCs w:val="30"/>
        </w:rPr>
        <w:t>查看导入信息是否正确是否成功后；</w:t>
      </w:r>
    </w:p>
    <w:p w14:paraId="2CCEA8D3">
      <w:pPr>
        <w:numPr>
          <w:ilvl w:val="0"/>
          <w:numId w:val="3"/>
        </w:numPr>
        <w:jc w:val="left"/>
        <w:rPr>
          <w:rFonts w:ascii="仿宋" w:hAnsi="仿宋" w:eastAsia="仿宋" w:cs="仿宋"/>
          <w:sz w:val="30"/>
          <w:szCs w:val="30"/>
        </w:rPr>
      </w:pPr>
      <w:r>
        <w:rPr>
          <w:rFonts w:hint="eastAsia" w:ascii="仿宋" w:hAnsi="仿宋" w:eastAsia="仿宋" w:cs="仿宋"/>
          <w:sz w:val="30"/>
          <w:szCs w:val="30"/>
        </w:rPr>
        <w:t>扫描相关业务材料；</w:t>
      </w:r>
    </w:p>
    <w:p w14:paraId="4896EC8A">
      <w:pPr>
        <w:numPr>
          <w:ilvl w:val="0"/>
          <w:numId w:val="3"/>
        </w:numPr>
        <w:jc w:val="left"/>
        <w:rPr>
          <w:rFonts w:ascii="仿宋" w:hAnsi="仿宋" w:eastAsia="仿宋" w:cs="仿宋"/>
          <w:sz w:val="30"/>
          <w:szCs w:val="30"/>
        </w:rPr>
      </w:pPr>
      <w:r>
        <w:rPr>
          <w:rFonts w:hint="eastAsia" w:ascii="仿宋" w:hAnsi="仿宋" w:eastAsia="仿宋" w:cs="仿宋"/>
          <w:sz w:val="30"/>
          <w:szCs w:val="30"/>
        </w:rPr>
        <w:t>进入一次性扩岗补助初审页面，选择初审结果</w:t>
      </w:r>
    </w:p>
    <w:p w14:paraId="38FCD3EF">
      <w:pPr>
        <w:numPr>
          <w:ilvl w:val="0"/>
          <w:numId w:val="3"/>
        </w:numPr>
        <w:jc w:val="left"/>
        <w:rPr>
          <w:rFonts w:ascii="仿宋" w:hAnsi="仿宋" w:eastAsia="仿宋" w:cs="仿宋"/>
          <w:sz w:val="30"/>
          <w:szCs w:val="30"/>
        </w:rPr>
      </w:pPr>
      <w:r>
        <w:rPr>
          <w:rFonts w:hint="eastAsia" w:ascii="仿宋" w:hAnsi="仿宋" w:eastAsia="仿宋" w:cs="仿宋"/>
          <w:sz w:val="30"/>
          <w:szCs w:val="30"/>
        </w:rPr>
        <w:t>进入一次性扩岗补助复核页面，选择复核结果</w:t>
      </w:r>
    </w:p>
    <w:p w14:paraId="786169DD">
      <w:pPr>
        <w:numPr>
          <w:ilvl w:val="0"/>
          <w:numId w:val="3"/>
        </w:numPr>
        <w:jc w:val="left"/>
        <w:rPr>
          <w:rFonts w:ascii="仿宋" w:hAnsi="仿宋" w:eastAsia="仿宋" w:cs="仿宋"/>
          <w:sz w:val="30"/>
          <w:szCs w:val="30"/>
        </w:rPr>
      </w:pPr>
      <w:r>
        <w:rPr>
          <w:rFonts w:hint="eastAsia" w:ascii="仿宋" w:hAnsi="仿宋" w:eastAsia="仿宋" w:cs="仿宋"/>
          <w:sz w:val="30"/>
          <w:szCs w:val="30"/>
        </w:rPr>
        <w:t>点击下一步，业务结束。</w:t>
      </w:r>
    </w:p>
    <w:p w14:paraId="5BC7ECD6">
      <w:pPr>
        <w:jc w:val="left"/>
        <w:rPr>
          <w:rFonts w:hint="eastAsia" w:ascii="仿宋" w:hAnsi="仿宋" w:eastAsia="仿宋" w:cs="仿宋"/>
          <w:sz w:val="30"/>
          <w:szCs w:val="30"/>
        </w:rPr>
      </w:pPr>
    </w:p>
    <w:p w14:paraId="0673916B">
      <w:pPr>
        <w:jc w:val="left"/>
        <w:rPr>
          <w:rFonts w:hint="eastAsia" w:ascii="仿宋" w:hAnsi="仿宋" w:eastAsia="仿宋" w:cs="仿宋"/>
          <w:sz w:val="30"/>
          <w:szCs w:val="30"/>
        </w:rPr>
      </w:pPr>
    </w:p>
    <w:p w14:paraId="5C59455D">
      <w:pPr>
        <w:jc w:val="left"/>
        <w:rPr>
          <w:rFonts w:hint="eastAsia" w:ascii="仿宋" w:hAnsi="仿宋" w:eastAsia="仿宋" w:cs="仿宋"/>
          <w:sz w:val="30"/>
          <w:szCs w:val="30"/>
        </w:rPr>
      </w:pPr>
    </w:p>
    <w:p w14:paraId="27AB3A03">
      <w:pPr>
        <w:jc w:val="left"/>
        <w:rPr>
          <w:rFonts w:hint="eastAsia" w:ascii="仿宋" w:hAnsi="仿宋" w:eastAsia="仿宋" w:cs="仿宋"/>
          <w:sz w:val="30"/>
          <w:szCs w:val="30"/>
        </w:rPr>
      </w:pPr>
    </w:p>
    <w:p w14:paraId="4CF68F13">
      <w:pPr>
        <w:jc w:val="left"/>
        <w:rPr>
          <w:rFonts w:hint="eastAsia" w:ascii="仿宋" w:hAnsi="仿宋" w:eastAsia="仿宋" w:cs="仿宋"/>
          <w:sz w:val="30"/>
          <w:szCs w:val="30"/>
        </w:rPr>
      </w:pPr>
    </w:p>
    <w:p w14:paraId="5D1752F6">
      <w:pPr>
        <w:jc w:val="left"/>
        <w:rPr>
          <w:rFonts w:ascii="仿宋" w:hAnsi="仿宋" w:eastAsia="仿宋" w:cs="仿宋"/>
          <w:sz w:val="30"/>
          <w:szCs w:val="30"/>
        </w:rPr>
      </w:pPr>
    </w:p>
    <w:p w14:paraId="7E9472A1">
      <w:pPr>
        <w:numPr>
          <w:ilvl w:val="0"/>
          <w:numId w:val="2"/>
        </w:numPr>
        <w:jc w:val="left"/>
        <w:rPr>
          <w:rFonts w:ascii="仿宋" w:hAnsi="仿宋" w:eastAsia="仿宋" w:cs="仿宋"/>
          <w:b/>
          <w:bCs/>
          <w:sz w:val="30"/>
          <w:szCs w:val="30"/>
        </w:rPr>
      </w:pPr>
      <w:r>
        <w:rPr>
          <w:rFonts w:hint="eastAsia" w:ascii="仿宋" w:hAnsi="仿宋" w:eastAsia="仿宋" w:cs="仿宋"/>
          <w:b/>
          <w:bCs/>
          <w:sz w:val="30"/>
          <w:szCs w:val="30"/>
        </w:rPr>
        <w:t>一次性扩岗补助统计应拨付填单据：</w:t>
      </w:r>
    </w:p>
    <w:p w14:paraId="73792163">
      <w:pPr>
        <w:jc w:val="left"/>
        <w:rPr>
          <w:rFonts w:hint="eastAsia" w:ascii="仿宋" w:hAnsi="仿宋" w:eastAsia="仿宋" w:cs="仿宋"/>
          <w:sz w:val="30"/>
          <w:szCs w:val="30"/>
        </w:rPr>
      </w:pPr>
      <w:r>
        <w:rPr>
          <w:rFonts w:hint="eastAsia" w:ascii="仿宋" w:hAnsi="仿宋" w:eastAsia="仿宋" w:cs="仿宋"/>
          <w:b/>
          <w:bCs/>
          <w:sz w:val="30"/>
          <w:szCs w:val="30"/>
        </w:rPr>
        <w:t>业务流程位置：</w:t>
      </w:r>
      <w:r>
        <w:rPr>
          <w:rFonts w:hint="eastAsia" w:ascii="仿宋" w:hAnsi="仿宋" w:eastAsia="仿宋" w:cs="仿宋"/>
          <w:sz w:val="30"/>
          <w:szCs w:val="30"/>
        </w:rPr>
        <w:t>综合业务-职工失业支付-一次性扩岗补助统计应拨付填单据</w:t>
      </w:r>
    </w:p>
    <w:p w14:paraId="2FD0EA69">
      <w:pPr>
        <w:rPr>
          <w:rFonts w:hint="eastAsia" w:ascii="仿宋" w:hAnsi="仿宋" w:eastAsia="仿宋" w:cs="仿宋"/>
          <w:sz w:val="30"/>
          <w:szCs w:val="30"/>
        </w:rPr>
      </w:pPr>
      <w:r>
        <w:rPr>
          <w:rFonts w:hint="eastAsia" w:ascii="仿宋" w:hAnsi="仿宋" w:eastAsia="仿宋" w:cs="仿宋"/>
          <w:b/>
          <w:bCs/>
          <w:sz w:val="30"/>
          <w:szCs w:val="30"/>
        </w:rPr>
        <w:t>业务流程PDID：</w:t>
      </w:r>
      <w:r>
        <w:rPr>
          <w:rFonts w:hint="eastAsia" w:ascii="仿宋" w:hAnsi="仿宋" w:eastAsia="仿宋" w:cs="仿宋"/>
          <w:sz w:val="30"/>
          <w:szCs w:val="30"/>
        </w:rPr>
        <w:t>LgYcxkgbzTjybftdj</w:t>
      </w:r>
    </w:p>
    <w:p w14:paraId="77F80EDC">
      <w:pPr>
        <w:rPr>
          <w:rFonts w:hint="eastAsia" w:ascii="仿宋" w:hAnsi="仿宋" w:eastAsia="仿宋" w:cs="仿宋"/>
          <w:sz w:val="30"/>
          <w:szCs w:val="30"/>
        </w:rPr>
      </w:pPr>
      <w:r>
        <w:rPr>
          <w:rFonts w:hint="eastAsia" w:ascii="仿宋" w:hAnsi="仿宋" w:eastAsia="仿宋" w:cs="仿宋"/>
          <w:sz w:val="30"/>
          <w:szCs w:val="30"/>
        </w:rPr>
        <w:t>点击进入业务操作界面，如下图所示：</w:t>
      </w:r>
    </w:p>
    <w:p w14:paraId="55CD3FC3">
      <w:pPr>
        <w:jc w:val="left"/>
      </w:pPr>
      <w:r>
        <w:drawing>
          <wp:inline distT="0" distB="0" distL="114300" distR="114300">
            <wp:extent cx="5269230" cy="1803400"/>
            <wp:effectExtent l="0" t="0" r="7620" b="6350"/>
            <wp:docPr id="5"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8"/>
                    <pic:cNvPicPr>
                      <a:picLocks noChangeAspect="1"/>
                    </pic:cNvPicPr>
                  </pic:nvPicPr>
                  <pic:blipFill>
                    <a:blip r:embed="rId12"/>
                    <a:stretch>
                      <a:fillRect/>
                    </a:stretch>
                  </pic:blipFill>
                  <pic:spPr>
                    <a:xfrm>
                      <a:off x="0" y="0"/>
                      <a:ext cx="5269230" cy="1803400"/>
                    </a:xfrm>
                    <a:prstGeom prst="rect">
                      <a:avLst/>
                    </a:prstGeom>
                    <a:noFill/>
                    <a:ln>
                      <a:noFill/>
                    </a:ln>
                  </pic:spPr>
                </pic:pic>
              </a:graphicData>
            </a:graphic>
          </wp:inline>
        </w:drawing>
      </w:r>
    </w:p>
    <w:p w14:paraId="1E4DA1CD">
      <w:pPr>
        <w:rPr>
          <w:rFonts w:ascii="仿宋" w:hAnsi="仿宋" w:eastAsia="仿宋" w:cs="仿宋"/>
          <w:sz w:val="30"/>
          <w:szCs w:val="30"/>
        </w:rPr>
      </w:pPr>
      <w:r>
        <w:rPr>
          <w:rFonts w:hint="eastAsia" w:ascii="仿宋" w:hAnsi="仿宋" w:eastAsia="仿宋" w:cs="仿宋"/>
          <w:sz w:val="30"/>
          <w:szCs w:val="30"/>
        </w:rPr>
        <w:t>选择对应的单位，核对单位信息、补贴人数点击下一步；</w:t>
      </w:r>
    </w:p>
    <w:p w14:paraId="44790C14">
      <w:pPr>
        <w:jc w:val="left"/>
        <w:rPr>
          <w:rFonts w:hint="eastAsia" w:ascii="仿宋" w:hAnsi="仿宋" w:eastAsia="仿宋" w:cs="仿宋"/>
          <w:sz w:val="30"/>
          <w:szCs w:val="30"/>
        </w:rPr>
      </w:pPr>
      <w:r>
        <w:drawing>
          <wp:inline distT="0" distB="0" distL="114300" distR="114300">
            <wp:extent cx="5273675" cy="3134360"/>
            <wp:effectExtent l="0" t="0" r="3175" b="8890"/>
            <wp:docPr id="4"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9"/>
                    <pic:cNvPicPr>
                      <a:picLocks noChangeAspect="1"/>
                    </pic:cNvPicPr>
                  </pic:nvPicPr>
                  <pic:blipFill>
                    <a:blip r:embed="rId13"/>
                    <a:stretch>
                      <a:fillRect/>
                    </a:stretch>
                  </pic:blipFill>
                  <pic:spPr>
                    <a:xfrm>
                      <a:off x="0" y="0"/>
                      <a:ext cx="5273675" cy="3134360"/>
                    </a:xfrm>
                    <a:prstGeom prst="rect">
                      <a:avLst/>
                    </a:prstGeom>
                    <a:noFill/>
                    <a:ln>
                      <a:noFill/>
                    </a:ln>
                  </pic:spPr>
                </pic:pic>
              </a:graphicData>
            </a:graphic>
          </wp:inline>
        </w:drawing>
      </w:r>
    </w:p>
    <w:p w14:paraId="454B5D78">
      <w:pPr>
        <w:rPr>
          <w:rFonts w:ascii="仿宋" w:hAnsi="仿宋" w:eastAsia="仿宋" w:cs="仿宋"/>
          <w:sz w:val="30"/>
          <w:szCs w:val="30"/>
        </w:rPr>
      </w:pPr>
      <w:r>
        <w:rPr>
          <w:rFonts w:hint="eastAsia" w:ascii="仿宋" w:hAnsi="仿宋" w:eastAsia="仿宋" w:cs="仿宋"/>
          <w:sz w:val="30"/>
          <w:szCs w:val="30"/>
        </w:rPr>
        <w:t>确认汇总表的信息，点击下一步；</w:t>
      </w:r>
    </w:p>
    <w:p w14:paraId="3BF580B8">
      <w:pPr>
        <w:jc w:val="left"/>
      </w:pPr>
      <w:r>
        <w:drawing>
          <wp:inline distT="0" distB="0" distL="114300" distR="114300">
            <wp:extent cx="5266690" cy="3214370"/>
            <wp:effectExtent l="0" t="0" r="10160" b="5080"/>
            <wp:docPr id="6"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0"/>
                    <pic:cNvPicPr>
                      <a:picLocks noChangeAspect="1"/>
                    </pic:cNvPicPr>
                  </pic:nvPicPr>
                  <pic:blipFill>
                    <a:blip r:embed="rId14"/>
                    <a:stretch>
                      <a:fillRect/>
                    </a:stretch>
                  </pic:blipFill>
                  <pic:spPr>
                    <a:xfrm>
                      <a:off x="0" y="0"/>
                      <a:ext cx="5266690" cy="3214370"/>
                    </a:xfrm>
                    <a:prstGeom prst="rect">
                      <a:avLst/>
                    </a:prstGeom>
                    <a:noFill/>
                    <a:ln>
                      <a:noFill/>
                    </a:ln>
                  </pic:spPr>
                </pic:pic>
              </a:graphicData>
            </a:graphic>
          </wp:inline>
        </w:drawing>
      </w:r>
    </w:p>
    <w:p w14:paraId="4D7210BF">
      <w:pPr>
        <w:jc w:val="left"/>
        <w:rPr>
          <w:rFonts w:hint="eastAsia" w:ascii="仿宋" w:hAnsi="仿宋" w:eastAsia="仿宋" w:cs="仿宋"/>
          <w:sz w:val="30"/>
          <w:szCs w:val="30"/>
        </w:rPr>
      </w:pPr>
      <w:r>
        <w:rPr>
          <w:rFonts w:hint="eastAsia" w:ascii="仿宋" w:hAnsi="仿宋" w:eastAsia="仿宋" w:cs="仿宋"/>
          <w:sz w:val="30"/>
          <w:szCs w:val="30"/>
        </w:rPr>
        <w:t>操作步骤：</w:t>
      </w:r>
    </w:p>
    <w:p w14:paraId="0869AAAD">
      <w:pPr>
        <w:jc w:val="left"/>
        <w:rPr>
          <w:rFonts w:hint="eastAsia" w:ascii="仿宋" w:hAnsi="仿宋" w:eastAsia="仿宋" w:cs="仿宋"/>
          <w:sz w:val="30"/>
          <w:szCs w:val="30"/>
        </w:rPr>
      </w:pPr>
      <w:r>
        <w:rPr>
          <w:rFonts w:hint="eastAsia" w:ascii="仿宋" w:hAnsi="仿宋" w:eastAsia="仿宋" w:cs="仿宋"/>
          <w:sz w:val="30"/>
          <w:szCs w:val="30"/>
        </w:rPr>
        <w:t>（1）点击一次性扩岗补助统计应拨付填单据；</w:t>
      </w:r>
    </w:p>
    <w:p w14:paraId="20FD0E82">
      <w:pPr>
        <w:rPr>
          <w:rFonts w:ascii="仿宋" w:hAnsi="仿宋" w:eastAsia="仿宋" w:cs="仿宋"/>
          <w:sz w:val="30"/>
          <w:szCs w:val="30"/>
        </w:rPr>
      </w:pPr>
      <w:r>
        <w:rPr>
          <w:rFonts w:hint="eastAsia" w:ascii="仿宋" w:hAnsi="仿宋" w:eastAsia="仿宋" w:cs="仿宋"/>
          <w:sz w:val="30"/>
          <w:szCs w:val="30"/>
        </w:rPr>
        <w:t>（2）选择对应的单位，核对单位信息、补贴人数点击下一步；</w:t>
      </w:r>
    </w:p>
    <w:p w14:paraId="28E01EF0">
      <w:pPr>
        <w:rPr>
          <w:rFonts w:ascii="仿宋" w:hAnsi="仿宋" w:eastAsia="仿宋" w:cs="仿宋"/>
          <w:sz w:val="30"/>
          <w:szCs w:val="30"/>
        </w:rPr>
      </w:pPr>
      <w:r>
        <w:rPr>
          <w:rFonts w:hint="eastAsia" w:ascii="仿宋" w:hAnsi="仿宋" w:eastAsia="仿宋" w:cs="仿宋"/>
          <w:sz w:val="30"/>
          <w:szCs w:val="30"/>
        </w:rPr>
        <w:t>（3）确认汇总表的信息，点击下一步；</w:t>
      </w:r>
    </w:p>
    <w:p w14:paraId="158782D4">
      <w:pPr>
        <w:jc w:val="left"/>
        <w:rPr>
          <w:rFonts w:ascii="仿宋" w:hAnsi="仿宋" w:eastAsia="仿宋" w:cs="仿宋"/>
          <w:sz w:val="30"/>
          <w:szCs w:val="30"/>
        </w:rPr>
      </w:pPr>
      <w:r>
        <w:rPr>
          <w:rFonts w:hint="eastAsia" w:ascii="仿宋" w:hAnsi="仿宋" w:eastAsia="仿宋" w:cs="仿宋"/>
          <w:sz w:val="30"/>
          <w:szCs w:val="30"/>
        </w:rPr>
        <w:t>（4）点击下一步，业务结束。</w:t>
      </w:r>
    </w:p>
    <w:p w14:paraId="2FC27007">
      <w:pPr>
        <w:jc w:val="left"/>
      </w:pPr>
    </w:p>
    <w:p w14:paraId="6EBA153A">
      <w:pPr>
        <w:numPr>
          <w:ilvl w:val="0"/>
          <w:numId w:val="2"/>
        </w:numPr>
        <w:jc w:val="left"/>
        <w:rPr>
          <w:rFonts w:hint="eastAsia" w:ascii="仿宋" w:hAnsi="仿宋" w:eastAsia="仿宋" w:cs="仿宋"/>
          <w:b/>
          <w:bCs/>
          <w:sz w:val="30"/>
          <w:szCs w:val="30"/>
        </w:rPr>
      </w:pPr>
      <w:r>
        <w:rPr>
          <w:rFonts w:hint="eastAsia" w:ascii="仿宋" w:hAnsi="仿宋" w:eastAsia="仿宋" w:cs="仿宋"/>
          <w:b/>
          <w:bCs/>
          <w:sz w:val="30"/>
          <w:szCs w:val="30"/>
        </w:rPr>
        <w:t>一次性扩岗补助发放（社银直连）：</w:t>
      </w:r>
    </w:p>
    <w:p w14:paraId="404E2B85">
      <w:pPr>
        <w:jc w:val="left"/>
        <w:rPr>
          <w:rFonts w:ascii="仿宋" w:hAnsi="仿宋" w:eastAsia="仿宋" w:cs="仿宋"/>
          <w:sz w:val="30"/>
          <w:szCs w:val="30"/>
        </w:rPr>
      </w:pPr>
      <w:r>
        <w:rPr>
          <w:rFonts w:hint="eastAsia" w:ascii="仿宋" w:hAnsi="仿宋" w:eastAsia="仿宋" w:cs="仿宋"/>
          <w:b/>
          <w:bCs/>
          <w:sz w:val="30"/>
          <w:szCs w:val="30"/>
        </w:rPr>
        <w:t>业务流程位置：</w:t>
      </w:r>
      <w:r>
        <w:rPr>
          <w:rFonts w:hint="eastAsia" w:ascii="仿宋" w:hAnsi="仿宋" w:eastAsia="仿宋" w:cs="仿宋"/>
          <w:sz w:val="30"/>
          <w:szCs w:val="30"/>
        </w:rPr>
        <w:t>综合业务-职工失业支付-一次性扩岗补助发放（社银直连）</w:t>
      </w:r>
    </w:p>
    <w:p w14:paraId="6F29EE36">
      <w:pPr>
        <w:rPr>
          <w:rFonts w:hint="eastAsia" w:ascii="仿宋" w:hAnsi="仿宋" w:eastAsia="仿宋" w:cs="仿宋"/>
          <w:sz w:val="30"/>
          <w:szCs w:val="30"/>
        </w:rPr>
      </w:pPr>
      <w:r>
        <w:rPr>
          <w:rFonts w:hint="eastAsia" w:ascii="仿宋" w:hAnsi="仿宋" w:eastAsia="仿宋" w:cs="仿宋"/>
          <w:b/>
          <w:bCs/>
          <w:sz w:val="30"/>
          <w:szCs w:val="30"/>
        </w:rPr>
        <w:t>业务流程PDID：</w:t>
      </w:r>
      <w:r>
        <w:rPr>
          <w:rFonts w:hint="eastAsia" w:ascii="仿宋" w:hAnsi="仿宋" w:eastAsia="仿宋" w:cs="仿宋"/>
          <w:sz w:val="30"/>
          <w:szCs w:val="30"/>
        </w:rPr>
        <w:t>LgYcxkgbz_Bankportal</w:t>
      </w:r>
    </w:p>
    <w:p w14:paraId="5481F756">
      <w:r>
        <w:rPr>
          <w:rFonts w:hint="eastAsia" w:ascii="仿宋" w:hAnsi="仿宋" w:eastAsia="仿宋" w:cs="仿宋"/>
          <w:sz w:val="30"/>
          <w:szCs w:val="30"/>
        </w:rPr>
        <w:t>点击进入业务操作界面，如下图所示：</w:t>
      </w:r>
    </w:p>
    <w:p w14:paraId="0F2D810C">
      <w:pPr>
        <w:rPr>
          <w:rFonts w:hint="eastAsia" w:ascii="仿宋" w:hAnsi="仿宋" w:eastAsia="仿宋" w:cs="仿宋"/>
          <w:sz w:val="30"/>
          <w:szCs w:val="30"/>
        </w:rPr>
      </w:pPr>
      <w:r>
        <w:rPr>
          <w:rFonts w:hint="eastAsia" w:ascii="仿宋" w:hAnsi="仿宋" w:eastAsia="仿宋" w:cs="仿宋"/>
          <w:sz w:val="30"/>
          <w:szCs w:val="30"/>
        </w:rPr>
        <w:drawing>
          <wp:inline distT="0" distB="0" distL="114300" distR="114300">
            <wp:extent cx="5271770" cy="1704975"/>
            <wp:effectExtent l="0" t="0" r="5080" b="9525"/>
            <wp:docPr id="2"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1"/>
                    <pic:cNvPicPr>
                      <a:picLocks noChangeAspect="1"/>
                    </pic:cNvPicPr>
                  </pic:nvPicPr>
                  <pic:blipFill>
                    <a:blip r:embed="rId15"/>
                    <a:stretch>
                      <a:fillRect/>
                    </a:stretch>
                  </pic:blipFill>
                  <pic:spPr>
                    <a:xfrm>
                      <a:off x="0" y="0"/>
                      <a:ext cx="5271770" cy="1704975"/>
                    </a:xfrm>
                    <a:prstGeom prst="rect">
                      <a:avLst/>
                    </a:prstGeom>
                    <a:noFill/>
                    <a:ln>
                      <a:noFill/>
                    </a:ln>
                  </pic:spPr>
                </pic:pic>
              </a:graphicData>
            </a:graphic>
          </wp:inline>
        </w:drawing>
      </w:r>
    </w:p>
    <w:p w14:paraId="21599DED">
      <w:pPr>
        <w:rPr>
          <w:rFonts w:ascii="仿宋" w:hAnsi="仿宋" w:eastAsia="仿宋" w:cs="仿宋"/>
          <w:sz w:val="30"/>
          <w:szCs w:val="30"/>
        </w:rPr>
      </w:pPr>
      <w:r>
        <w:rPr>
          <w:rFonts w:hint="eastAsia" w:ascii="仿宋" w:hAnsi="仿宋" w:eastAsia="仿宋" w:cs="仿宋"/>
          <w:sz w:val="30"/>
          <w:szCs w:val="30"/>
        </w:rPr>
        <w:t>选择起始经办日期，申请补贴的单位，点击下一步；</w:t>
      </w:r>
    </w:p>
    <w:p w14:paraId="2A5EC40C">
      <w:pPr>
        <w:jc w:val="left"/>
      </w:pPr>
      <w:r>
        <w:drawing>
          <wp:inline distT="0" distB="0" distL="114300" distR="114300">
            <wp:extent cx="5267325" cy="3072765"/>
            <wp:effectExtent l="0" t="0" r="9525" b="13335"/>
            <wp:docPr id="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2"/>
                    <pic:cNvPicPr>
                      <a:picLocks noChangeAspect="1"/>
                    </pic:cNvPicPr>
                  </pic:nvPicPr>
                  <pic:blipFill>
                    <a:blip r:embed="rId16"/>
                    <a:stretch>
                      <a:fillRect/>
                    </a:stretch>
                  </pic:blipFill>
                  <pic:spPr>
                    <a:xfrm>
                      <a:off x="0" y="0"/>
                      <a:ext cx="5267325" cy="3072765"/>
                    </a:xfrm>
                    <a:prstGeom prst="rect">
                      <a:avLst/>
                    </a:prstGeom>
                    <a:noFill/>
                    <a:ln>
                      <a:noFill/>
                    </a:ln>
                  </pic:spPr>
                </pic:pic>
              </a:graphicData>
            </a:graphic>
          </wp:inline>
        </w:drawing>
      </w:r>
    </w:p>
    <w:p w14:paraId="00FB66B1">
      <w:pPr>
        <w:jc w:val="left"/>
      </w:pPr>
      <w:r>
        <w:rPr>
          <w:rFonts w:hint="eastAsia" w:ascii="仿宋" w:hAnsi="仿宋" w:eastAsia="仿宋" w:cs="仿宋"/>
          <w:sz w:val="30"/>
          <w:szCs w:val="30"/>
        </w:rPr>
        <w:t>进入审核一次性扩岗补助的汇总计划，点击通过，点击下一步；</w:t>
      </w:r>
    </w:p>
    <w:p w14:paraId="0588D4DC">
      <w:pPr>
        <w:jc w:val="left"/>
      </w:pPr>
      <w:r>
        <w:drawing>
          <wp:inline distT="0" distB="0" distL="114300" distR="114300">
            <wp:extent cx="5271770" cy="3137535"/>
            <wp:effectExtent l="0" t="0" r="5080" b="5715"/>
            <wp:docPr id="15"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3"/>
                    <pic:cNvPicPr>
                      <a:picLocks noChangeAspect="1"/>
                    </pic:cNvPicPr>
                  </pic:nvPicPr>
                  <pic:blipFill>
                    <a:blip r:embed="rId17"/>
                    <a:stretch>
                      <a:fillRect/>
                    </a:stretch>
                  </pic:blipFill>
                  <pic:spPr>
                    <a:xfrm>
                      <a:off x="0" y="0"/>
                      <a:ext cx="5271770" cy="3137535"/>
                    </a:xfrm>
                    <a:prstGeom prst="rect">
                      <a:avLst/>
                    </a:prstGeom>
                    <a:noFill/>
                    <a:ln>
                      <a:noFill/>
                    </a:ln>
                  </pic:spPr>
                </pic:pic>
              </a:graphicData>
            </a:graphic>
          </wp:inline>
        </w:drawing>
      </w:r>
    </w:p>
    <w:p w14:paraId="399D74C2">
      <w:pPr>
        <w:jc w:val="left"/>
      </w:pPr>
      <w:r>
        <w:rPr>
          <w:rFonts w:hint="eastAsia" w:ascii="仿宋" w:hAnsi="仿宋" w:eastAsia="仿宋" w:cs="仿宋"/>
          <w:sz w:val="30"/>
          <w:szCs w:val="30"/>
        </w:rPr>
        <w:t>进入复核一次性扩岗补助的汇总计划，点击通过，点击下一步；</w:t>
      </w:r>
    </w:p>
    <w:p w14:paraId="65A5AC95">
      <w:pPr>
        <w:jc w:val="left"/>
      </w:pPr>
      <w:r>
        <w:drawing>
          <wp:inline distT="0" distB="0" distL="114300" distR="114300">
            <wp:extent cx="5264785" cy="3168650"/>
            <wp:effectExtent l="0" t="0" r="12065" b="12700"/>
            <wp:docPr id="13"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4"/>
                    <pic:cNvPicPr>
                      <a:picLocks noChangeAspect="1"/>
                    </pic:cNvPicPr>
                  </pic:nvPicPr>
                  <pic:blipFill>
                    <a:blip r:embed="rId18"/>
                    <a:stretch>
                      <a:fillRect/>
                    </a:stretch>
                  </pic:blipFill>
                  <pic:spPr>
                    <a:xfrm>
                      <a:off x="0" y="0"/>
                      <a:ext cx="5264785" cy="3168650"/>
                    </a:xfrm>
                    <a:prstGeom prst="rect">
                      <a:avLst/>
                    </a:prstGeom>
                    <a:noFill/>
                    <a:ln>
                      <a:noFill/>
                    </a:ln>
                  </pic:spPr>
                </pic:pic>
              </a:graphicData>
            </a:graphic>
          </wp:inline>
        </w:drawing>
      </w:r>
    </w:p>
    <w:p w14:paraId="0CE1A7BC">
      <w:pPr>
        <w:jc w:val="left"/>
        <w:rPr>
          <w:rFonts w:ascii="仿宋" w:hAnsi="仿宋" w:eastAsia="仿宋" w:cs="仿宋"/>
          <w:sz w:val="30"/>
          <w:szCs w:val="30"/>
        </w:rPr>
      </w:pPr>
      <w:r>
        <w:rPr>
          <w:rFonts w:hint="eastAsia" w:ascii="仿宋" w:hAnsi="仿宋" w:eastAsia="仿宋" w:cs="仿宋"/>
          <w:sz w:val="30"/>
          <w:szCs w:val="30"/>
        </w:rPr>
        <w:t>进入一次性扩岗补助选择支付银行页面，选择支付银行，点击下一步；</w:t>
      </w:r>
    </w:p>
    <w:p w14:paraId="28DD7A32">
      <w:pPr>
        <w:jc w:val="left"/>
      </w:pPr>
      <w:r>
        <w:drawing>
          <wp:inline distT="0" distB="0" distL="114300" distR="114300">
            <wp:extent cx="5267960" cy="3140075"/>
            <wp:effectExtent l="0" t="0" r="8890" b="3175"/>
            <wp:docPr id="17"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5"/>
                    <pic:cNvPicPr>
                      <a:picLocks noChangeAspect="1"/>
                    </pic:cNvPicPr>
                  </pic:nvPicPr>
                  <pic:blipFill>
                    <a:blip r:embed="rId19"/>
                    <a:stretch>
                      <a:fillRect/>
                    </a:stretch>
                  </pic:blipFill>
                  <pic:spPr>
                    <a:xfrm>
                      <a:off x="0" y="0"/>
                      <a:ext cx="5267960" cy="3140075"/>
                    </a:xfrm>
                    <a:prstGeom prst="rect">
                      <a:avLst/>
                    </a:prstGeom>
                    <a:noFill/>
                    <a:ln>
                      <a:noFill/>
                    </a:ln>
                  </pic:spPr>
                </pic:pic>
              </a:graphicData>
            </a:graphic>
          </wp:inline>
        </w:drawing>
      </w:r>
    </w:p>
    <w:p w14:paraId="2B05D642">
      <w:pPr>
        <w:jc w:val="left"/>
        <w:rPr>
          <w:rFonts w:ascii="仿宋" w:hAnsi="仿宋" w:eastAsia="仿宋" w:cs="仿宋"/>
          <w:sz w:val="30"/>
          <w:szCs w:val="30"/>
        </w:rPr>
      </w:pPr>
      <w:r>
        <w:rPr>
          <w:rFonts w:hint="eastAsia" w:ascii="仿宋" w:hAnsi="仿宋" w:eastAsia="仿宋" w:cs="仿宋"/>
          <w:sz w:val="30"/>
          <w:szCs w:val="30"/>
        </w:rPr>
        <w:t>进入财务经办员审核页面，点击审核通过，点击下一步；</w:t>
      </w:r>
    </w:p>
    <w:p w14:paraId="70BD8C23">
      <w:pPr>
        <w:jc w:val="left"/>
      </w:pPr>
      <w:r>
        <w:drawing>
          <wp:inline distT="0" distB="0" distL="114300" distR="114300">
            <wp:extent cx="5273675" cy="3193415"/>
            <wp:effectExtent l="0" t="0" r="3175" b="698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0"/>
                    <a:stretch>
                      <a:fillRect/>
                    </a:stretch>
                  </pic:blipFill>
                  <pic:spPr>
                    <a:xfrm>
                      <a:off x="0" y="0"/>
                      <a:ext cx="5273675" cy="3193415"/>
                    </a:xfrm>
                    <a:prstGeom prst="rect">
                      <a:avLst/>
                    </a:prstGeom>
                    <a:noFill/>
                    <a:ln>
                      <a:noFill/>
                    </a:ln>
                  </pic:spPr>
                </pic:pic>
              </a:graphicData>
            </a:graphic>
          </wp:inline>
        </w:drawing>
      </w:r>
    </w:p>
    <w:p w14:paraId="3F8468BE">
      <w:pPr>
        <w:jc w:val="left"/>
      </w:pPr>
      <w:r>
        <w:rPr>
          <w:rFonts w:hint="eastAsia" w:ascii="仿宋" w:hAnsi="仿宋" w:eastAsia="仿宋" w:cs="仿宋"/>
          <w:sz w:val="30"/>
          <w:szCs w:val="30"/>
        </w:rPr>
        <w:t>进入财务审核页面，点击审核通过，点击下一步；</w:t>
      </w:r>
    </w:p>
    <w:p w14:paraId="3FA81FC8">
      <w:pPr>
        <w:jc w:val="left"/>
      </w:pPr>
      <w:r>
        <w:drawing>
          <wp:inline distT="0" distB="0" distL="114300" distR="114300">
            <wp:extent cx="5268595" cy="3136265"/>
            <wp:effectExtent l="0" t="0" r="8255" b="6985"/>
            <wp:docPr id="18"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7"/>
                    <pic:cNvPicPr>
                      <a:picLocks noChangeAspect="1"/>
                    </pic:cNvPicPr>
                  </pic:nvPicPr>
                  <pic:blipFill>
                    <a:blip r:embed="rId21"/>
                    <a:stretch>
                      <a:fillRect/>
                    </a:stretch>
                  </pic:blipFill>
                  <pic:spPr>
                    <a:xfrm>
                      <a:off x="0" y="0"/>
                      <a:ext cx="5268595" cy="3136265"/>
                    </a:xfrm>
                    <a:prstGeom prst="rect">
                      <a:avLst/>
                    </a:prstGeom>
                    <a:noFill/>
                    <a:ln>
                      <a:noFill/>
                    </a:ln>
                  </pic:spPr>
                </pic:pic>
              </a:graphicData>
            </a:graphic>
          </wp:inline>
        </w:drawing>
      </w:r>
    </w:p>
    <w:p w14:paraId="13AF9F78">
      <w:pPr>
        <w:jc w:val="left"/>
      </w:pPr>
      <w:r>
        <w:rPr>
          <w:rFonts w:hint="eastAsia" w:ascii="仿宋" w:hAnsi="仿宋" w:eastAsia="仿宋" w:cs="仿宋"/>
          <w:sz w:val="30"/>
          <w:szCs w:val="30"/>
        </w:rPr>
        <w:t>进入财务科长审核页面，点击审核通过，点击下一步；</w:t>
      </w:r>
    </w:p>
    <w:p w14:paraId="6396E1BE">
      <w:pPr>
        <w:jc w:val="left"/>
      </w:pPr>
      <w:r>
        <w:drawing>
          <wp:inline distT="0" distB="0" distL="114300" distR="114300">
            <wp:extent cx="5271135" cy="3088640"/>
            <wp:effectExtent l="0" t="0" r="5715" b="16510"/>
            <wp:docPr id="19"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8"/>
                    <pic:cNvPicPr>
                      <a:picLocks noChangeAspect="1"/>
                    </pic:cNvPicPr>
                  </pic:nvPicPr>
                  <pic:blipFill>
                    <a:blip r:embed="rId22"/>
                    <a:stretch>
                      <a:fillRect/>
                    </a:stretch>
                  </pic:blipFill>
                  <pic:spPr>
                    <a:xfrm>
                      <a:off x="0" y="0"/>
                      <a:ext cx="5271135" cy="3088640"/>
                    </a:xfrm>
                    <a:prstGeom prst="rect">
                      <a:avLst/>
                    </a:prstGeom>
                    <a:noFill/>
                    <a:ln>
                      <a:noFill/>
                    </a:ln>
                  </pic:spPr>
                </pic:pic>
              </a:graphicData>
            </a:graphic>
          </wp:inline>
        </w:drawing>
      </w:r>
    </w:p>
    <w:p w14:paraId="5F6A898F">
      <w:pPr>
        <w:jc w:val="left"/>
      </w:pPr>
    </w:p>
    <w:p w14:paraId="599C72B5">
      <w:pPr>
        <w:jc w:val="left"/>
      </w:pPr>
      <w:r>
        <w:rPr>
          <w:rFonts w:hint="eastAsia" w:ascii="仿宋" w:hAnsi="仿宋" w:eastAsia="仿宋" w:cs="仿宋"/>
          <w:sz w:val="30"/>
          <w:szCs w:val="30"/>
        </w:rPr>
        <w:t>进入显示通知银行结果页面，点击下一步，业务结束。</w:t>
      </w:r>
      <w:r>
        <w:drawing>
          <wp:inline distT="0" distB="0" distL="114300" distR="114300">
            <wp:extent cx="5268595" cy="3204210"/>
            <wp:effectExtent l="0" t="0" r="8255" b="15240"/>
            <wp:docPr id="14"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9"/>
                    <pic:cNvPicPr>
                      <a:picLocks noChangeAspect="1"/>
                    </pic:cNvPicPr>
                  </pic:nvPicPr>
                  <pic:blipFill>
                    <a:blip r:embed="rId23"/>
                    <a:stretch>
                      <a:fillRect/>
                    </a:stretch>
                  </pic:blipFill>
                  <pic:spPr>
                    <a:xfrm>
                      <a:off x="0" y="0"/>
                      <a:ext cx="5268595" cy="3204210"/>
                    </a:xfrm>
                    <a:prstGeom prst="rect">
                      <a:avLst/>
                    </a:prstGeom>
                    <a:noFill/>
                    <a:ln>
                      <a:noFill/>
                    </a:ln>
                  </pic:spPr>
                </pic:pic>
              </a:graphicData>
            </a:graphic>
          </wp:inline>
        </w:drawing>
      </w:r>
    </w:p>
    <w:p w14:paraId="5704C378">
      <w:pPr>
        <w:jc w:val="left"/>
        <w:rPr>
          <w:rFonts w:hint="eastAsia" w:ascii="仿宋" w:hAnsi="仿宋" w:eastAsia="仿宋" w:cs="仿宋"/>
          <w:sz w:val="30"/>
          <w:szCs w:val="30"/>
        </w:rPr>
      </w:pPr>
      <w:r>
        <w:rPr>
          <w:rFonts w:hint="eastAsia" w:ascii="仿宋" w:hAnsi="仿宋" w:eastAsia="仿宋" w:cs="仿宋"/>
          <w:sz w:val="30"/>
          <w:szCs w:val="30"/>
        </w:rPr>
        <w:t>操作步骤：</w:t>
      </w:r>
    </w:p>
    <w:p w14:paraId="60A3CC68">
      <w:pPr>
        <w:jc w:val="left"/>
        <w:rPr>
          <w:rFonts w:ascii="仿宋" w:hAnsi="仿宋" w:eastAsia="仿宋" w:cs="仿宋"/>
          <w:sz w:val="30"/>
          <w:szCs w:val="30"/>
        </w:rPr>
      </w:pPr>
      <w:r>
        <w:rPr>
          <w:rFonts w:hint="eastAsia" w:ascii="仿宋" w:hAnsi="仿宋" w:eastAsia="仿宋" w:cs="仿宋"/>
          <w:sz w:val="30"/>
          <w:szCs w:val="30"/>
        </w:rPr>
        <w:t>（1）一次性扩岗补助发放（社银直连）</w:t>
      </w:r>
    </w:p>
    <w:p w14:paraId="6860D4F0">
      <w:pPr>
        <w:rPr>
          <w:rFonts w:ascii="仿宋" w:hAnsi="仿宋" w:eastAsia="仿宋" w:cs="仿宋"/>
          <w:sz w:val="30"/>
          <w:szCs w:val="30"/>
        </w:rPr>
      </w:pPr>
      <w:r>
        <w:rPr>
          <w:rFonts w:hint="eastAsia" w:ascii="仿宋" w:hAnsi="仿宋" w:eastAsia="仿宋" w:cs="仿宋"/>
          <w:sz w:val="30"/>
          <w:szCs w:val="30"/>
        </w:rPr>
        <w:t>（2）选择起始经办日期，申请补贴的单位，点击下一步；</w:t>
      </w:r>
    </w:p>
    <w:p w14:paraId="079A3D8C">
      <w:pPr>
        <w:jc w:val="left"/>
      </w:pPr>
      <w:r>
        <w:rPr>
          <w:rFonts w:hint="eastAsia" w:ascii="仿宋" w:hAnsi="仿宋" w:eastAsia="仿宋" w:cs="仿宋"/>
          <w:sz w:val="30"/>
          <w:szCs w:val="30"/>
        </w:rPr>
        <w:t>（3）进入审核一次性扩岗补助的汇总计划，点击通过，点击下一步；</w:t>
      </w:r>
    </w:p>
    <w:p w14:paraId="05C224B6">
      <w:pPr>
        <w:jc w:val="left"/>
      </w:pPr>
      <w:r>
        <w:rPr>
          <w:rFonts w:hint="eastAsia" w:ascii="仿宋" w:hAnsi="仿宋" w:eastAsia="仿宋" w:cs="仿宋"/>
          <w:sz w:val="30"/>
          <w:szCs w:val="30"/>
        </w:rPr>
        <w:t>（4）进入复核一次性扩岗补助的汇总计划，点击通过，点击下一步；</w:t>
      </w:r>
    </w:p>
    <w:p w14:paraId="41BC8A48">
      <w:pPr>
        <w:jc w:val="left"/>
        <w:rPr>
          <w:rFonts w:ascii="仿宋" w:hAnsi="仿宋" w:eastAsia="仿宋" w:cs="仿宋"/>
          <w:sz w:val="30"/>
          <w:szCs w:val="30"/>
        </w:rPr>
      </w:pPr>
      <w:r>
        <w:rPr>
          <w:rFonts w:hint="eastAsia" w:ascii="仿宋" w:hAnsi="仿宋" w:eastAsia="仿宋" w:cs="仿宋"/>
          <w:sz w:val="30"/>
          <w:szCs w:val="30"/>
        </w:rPr>
        <w:t>（5）进入一次性扩岗补助选择支付银行页面，选择支付银行，点击下一步；</w:t>
      </w:r>
    </w:p>
    <w:p w14:paraId="7C401172">
      <w:pPr>
        <w:jc w:val="left"/>
        <w:rPr>
          <w:rFonts w:ascii="仿宋" w:hAnsi="仿宋" w:eastAsia="仿宋" w:cs="仿宋"/>
          <w:sz w:val="30"/>
          <w:szCs w:val="30"/>
        </w:rPr>
      </w:pPr>
      <w:r>
        <w:rPr>
          <w:rFonts w:hint="eastAsia" w:ascii="仿宋" w:hAnsi="仿宋" w:eastAsia="仿宋" w:cs="仿宋"/>
          <w:sz w:val="30"/>
          <w:szCs w:val="30"/>
        </w:rPr>
        <w:t>（6）进入财务经办员审核页面，点击审核通过，点击下一步；</w:t>
      </w:r>
    </w:p>
    <w:p w14:paraId="602D5EC1">
      <w:pPr>
        <w:jc w:val="left"/>
      </w:pPr>
      <w:r>
        <w:rPr>
          <w:rFonts w:hint="eastAsia" w:ascii="仿宋" w:hAnsi="仿宋" w:eastAsia="仿宋" w:cs="仿宋"/>
          <w:sz w:val="30"/>
          <w:szCs w:val="30"/>
        </w:rPr>
        <w:t>（7）进入财务审核页面，点击审核通过，点击下一步；</w:t>
      </w:r>
    </w:p>
    <w:p w14:paraId="468BA4C0">
      <w:pPr>
        <w:jc w:val="left"/>
      </w:pPr>
      <w:r>
        <w:rPr>
          <w:rFonts w:hint="eastAsia" w:ascii="仿宋" w:hAnsi="仿宋" w:eastAsia="仿宋" w:cs="仿宋"/>
          <w:sz w:val="30"/>
          <w:szCs w:val="30"/>
        </w:rPr>
        <w:t>（8）进入财务科长审核页面，点击审核通过，点击下一步；</w:t>
      </w:r>
    </w:p>
    <w:p w14:paraId="0D05E612">
      <w:pPr>
        <w:jc w:val="left"/>
        <w:rPr>
          <w:rFonts w:hint="eastAsia" w:ascii="仿宋" w:hAnsi="仿宋" w:eastAsia="仿宋" w:cs="仿宋"/>
          <w:sz w:val="30"/>
          <w:szCs w:val="30"/>
        </w:rPr>
      </w:pPr>
      <w:r>
        <w:rPr>
          <w:rFonts w:hint="eastAsia" w:ascii="仿宋" w:hAnsi="仿宋" w:eastAsia="仿宋" w:cs="仿宋"/>
          <w:sz w:val="30"/>
          <w:szCs w:val="30"/>
        </w:rPr>
        <w:t>（9）进入显示通知银行结果页面，点击下一步，业务结束。</w:t>
      </w:r>
    </w:p>
    <w:p w14:paraId="62C27ED2">
      <w:pPr>
        <w:widowControl/>
        <w:spacing w:before="100" w:beforeAutospacing="1" w:after="100" w:afterAutospacing="1" w:line="592" w:lineRule="exact"/>
        <w:ind w:right="160"/>
        <w:rPr>
          <w:rFonts w:hint="eastAsia" w:ascii="宋体" w:hAnsi="宋体" w:eastAsia="仿宋_GB2312" w:cs="宋体"/>
          <w:color w:val="000000"/>
          <w:kern w:val="0"/>
          <w:sz w:val="32"/>
          <w:szCs w:val="32"/>
        </w:rPr>
        <w:sectPr>
          <w:footerReference r:id="rId3" w:type="even"/>
          <w:pgSz w:w="11906" w:h="16838"/>
          <w:pgMar w:top="1985" w:right="1531" w:bottom="1814" w:left="1531" w:header="851" w:footer="1361" w:gutter="0"/>
          <w:cols w:space="720" w:num="1"/>
          <w:docGrid w:type="lines" w:linePitch="312" w:charSpace="0"/>
        </w:sectPr>
      </w:pPr>
    </w:p>
    <w:p w14:paraId="447445A1">
      <w:pPr>
        <w:rPr>
          <w:rFonts w:hint="eastAsia"/>
        </w:rPr>
      </w:pPr>
      <w:r>
        <w:rPr>
          <w:rFonts w:hint="eastAsia"/>
        </w:rPr>
        <w:t>附件</w:t>
      </w:r>
    </w:p>
    <w:p w14:paraId="6C3CBA7B">
      <w:pPr>
        <w:jc w:val="center"/>
        <w:rPr>
          <w:rFonts w:hint="eastAsia" w:ascii="华文中宋" w:hAnsi="华文中宋" w:eastAsia="华文中宋" w:cs="华文中宋"/>
          <w:sz w:val="32"/>
          <w:szCs w:val="32"/>
        </w:rPr>
      </w:pPr>
      <w:r>
        <w:rPr>
          <w:rFonts w:hint="eastAsia" w:ascii="华文中宋" w:hAnsi="华文中宋" w:eastAsia="华文中宋" w:cs="华文中宋"/>
          <w:sz w:val="32"/>
          <w:szCs w:val="32"/>
        </w:rPr>
        <w:t>已享受一次性扩岗补助人员信息表</w:t>
      </w:r>
    </w:p>
    <w:p w14:paraId="11C592BB">
      <w:pPr>
        <w:rPr>
          <w:rFonts w:hint="eastAsia" w:ascii="华文中宋" w:hAnsi="华文中宋" w:eastAsia="华文中宋" w:cs="华文中宋"/>
          <w:szCs w:val="21"/>
        </w:rPr>
      </w:pPr>
      <w:r>
        <w:rPr>
          <w:rFonts w:hint="eastAsia" w:ascii="华文中宋" w:hAnsi="华文中宋" w:eastAsia="华文中宋" w:cs="华文中宋"/>
          <w:szCs w:val="21"/>
        </w:rPr>
        <w:t>每月上报信息范围：每月上报全量信息</w:t>
      </w:r>
    </w:p>
    <w:tbl>
      <w:tblPr>
        <w:tblStyle w:val="6"/>
        <w:tblW w:w="146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5"/>
        <w:gridCol w:w="2133"/>
        <w:gridCol w:w="897"/>
        <w:gridCol w:w="813"/>
        <w:gridCol w:w="750"/>
        <w:gridCol w:w="690"/>
        <w:gridCol w:w="8700"/>
      </w:tblGrid>
      <w:tr w14:paraId="6E342E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0D497C6B">
            <w:pPr>
              <w:jc w:val="center"/>
              <w:rPr>
                <w:rFonts w:hint="eastAsia"/>
              </w:rPr>
            </w:pPr>
            <w:r>
              <w:rPr>
                <w:rFonts w:hint="eastAsia"/>
              </w:rPr>
              <w:t>序号</w:t>
            </w:r>
          </w:p>
        </w:tc>
        <w:tc>
          <w:tcPr>
            <w:tcW w:w="2133" w:type="dxa"/>
            <w:noWrap w:val="0"/>
            <w:vAlign w:val="top"/>
          </w:tcPr>
          <w:p w14:paraId="739B030C">
            <w:pPr>
              <w:jc w:val="center"/>
              <w:rPr>
                <w:rFonts w:hint="eastAsia"/>
              </w:rPr>
            </w:pPr>
            <w:r>
              <w:rPr>
                <w:rFonts w:hint="eastAsia"/>
              </w:rPr>
              <w:t>指标名称</w:t>
            </w:r>
          </w:p>
        </w:tc>
        <w:tc>
          <w:tcPr>
            <w:tcW w:w="897" w:type="dxa"/>
            <w:noWrap w:val="0"/>
            <w:vAlign w:val="top"/>
          </w:tcPr>
          <w:p w14:paraId="61E34E87">
            <w:pPr>
              <w:jc w:val="center"/>
              <w:rPr>
                <w:rFonts w:hint="eastAsia"/>
              </w:rPr>
            </w:pPr>
            <w:r>
              <w:rPr>
                <w:rFonts w:hint="eastAsia"/>
              </w:rPr>
              <w:t>指标编码</w:t>
            </w:r>
          </w:p>
        </w:tc>
        <w:tc>
          <w:tcPr>
            <w:tcW w:w="813" w:type="dxa"/>
            <w:noWrap w:val="0"/>
            <w:vAlign w:val="top"/>
          </w:tcPr>
          <w:p w14:paraId="7DE8C726">
            <w:pPr>
              <w:jc w:val="center"/>
              <w:rPr>
                <w:rFonts w:hint="eastAsia"/>
              </w:rPr>
            </w:pPr>
            <w:r>
              <w:rPr>
                <w:rFonts w:hint="eastAsia"/>
              </w:rPr>
              <w:t>指标类型</w:t>
            </w:r>
          </w:p>
        </w:tc>
        <w:tc>
          <w:tcPr>
            <w:tcW w:w="750" w:type="dxa"/>
            <w:noWrap w:val="0"/>
            <w:vAlign w:val="top"/>
          </w:tcPr>
          <w:p w14:paraId="4D18DE2E">
            <w:pPr>
              <w:jc w:val="center"/>
              <w:rPr>
                <w:rFonts w:hint="eastAsia"/>
              </w:rPr>
            </w:pPr>
            <w:r>
              <w:rPr>
                <w:rFonts w:hint="eastAsia"/>
              </w:rPr>
              <w:t>指标长度</w:t>
            </w:r>
          </w:p>
        </w:tc>
        <w:tc>
          <w:tcPr>
            <w:tcW w:w="690" w:type="dxa"/>
            <w:noWrap w:val="0"/>
            <w:vAlign w:val="top"/>
          </w:tcPr>
          <w:p w14:paraId="4874D633">
            <w:pPr>
              <w:jc w:val="center"/>
              <w:rPr>
                <w:rFonts w:hint="eastAsia"/>
              </w:rPr>
            </w:pPr>
            <w:r>
              <w:rPr>
                <w:rFonts w:hint="eastAsia"/>
              </w:rPr>
              <w:t>代码标识</w:t>
            </w:r>
          </w:p>
        </w:tc>
        <w:tc>
          <w:tcPr>
            <w:tcW w:w="8700" w:type="dxa"/>
            <w:noWrap w:val="0"/>
            <w:vAlign w:val="top"/>
          </w:tcPr>
          <w:p w14:paraId="2A9C99C7">
            <w:pPr>
              <w:jc w:val="center"/>
              <w:rPr>
                <w:rFonts w:hint="eastAsia"/>
              </w:rPr>
            </w:pPr>
            <w:r>
              <w:rPr>
                <w:rFonts w:hint="eastAsia"/>
              </w:rPr>
              <w:t>指标释义</w:t>
            </w:r>
          </w:p>
        </w:tc>
      </w:tr>
      <w:tr w14:paraId="48A55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55F106EF">
            <w:r>
              <w:rPr>
                <w:rFonts w:hint="eastAsia"/>
              </w:rPr>
              <w:t>1-1</w:t>
            </w:r>
          </w:p>
        </w:tc>
        <w:tc>
          <w:tcPr>
            <w:tcW w:w="2133" w:type="dxa"/>
            <w:noWrap w:val="0"/>
            <w:vAlign w:val="top"/>
          </w:tcPr>
          <w:p w14:paraId="1AE6BAF0">
            <w:pPr>
              <w:rPr>
                <w:rFonts w:hint="eastAsia"/>
              </w:rPr>
            </w:pPr>
            <w:r>
              <w:rPr>
                <w:rFonts w:hint="eastAsia"/>
              </w:rPr>
              <w:t>行政区划代码</w:t>
            </w:r>
          </w:p>
        </w:tc>
        <w:tc>
          <w:tcPr>
            <w:tcW w:w="897" w:type="dxa"/>
            <w:noWrap w:val="0"/>
            <w:vAlign w:val="top"/>
          </w:tcPr>
          <w:p w14:paraId="10CE6FCB">
            <w:r>
              <w:rPr>
                <w:rFonts w:hint="eastAsia"/>
              </w:rPr>
              <w:t>AAB301</w:t>
            </w:r>
          </w:p>
        </w:tc>
        <w:tc>
          <w:tcPr>
            <w:tcW w:w="813" w:type="dxa"/>
            <w:noWrap w:val="0"/>
            <w:vAlign w:val="top"/>
          </w:tcPr>
          <w:p w14:paraId="0F9C42BD">
            <w:r>
              <w:rPr>
                <w:rFonts w:hint="eastAsia"/>
              </w:rPr>
              <w:t>C</w:t>
            </w:r>
          </w:p>
        </w:tc>
        <w:tc>
          <w:tcPr>
            <w:tcW w:w="750" w:type="dxa"/>
            <w:noWrap w:val="0"/>
            <w:vAlign w:val="top"/>
          </w:tcPr>
          <w:p w14:paraId="55C6E873">
            <w:r>
              <w:rPr>
                <w:rFonts w:hint="eastAsia"/>
              </w:rPr>
              <w:t>6</w:t>
            </w:r>
          </w:p>
        </w:tc>
        <w:tc>
          <w:tcPr>
            <w:tcW w:w="690" w:type="dxa"/>
            <w:noWrap w:val="0"/>
            <w:vAlign w:val="top"/>
          </w:tcPr>
          <w:p w14:paraId="6C0E8BD5">
            <w:pPr>
              <w:rPr>
                <w:rFonts w:hint="eastAsia"/>
              </w:rPr>
            </w:pPr>
            <w:r>
              <w:rPr>
                <w:rFonts w:hint="eastAsia"/>
              </w:rPr>
              <w:t>Y</w:t>
            </w:r>
          </w:p>
        </w:tc>
        <w:tc>
          <w:tcPr>
            <w:tcW w:w="8700" w:type="dxa"/>
            <w:noWrap w:val="0"/>
            <w:vAlign w:val="top"/>
          </w:tcPr>
          <w:p w14:paraId="2D8F5EC0">
            <w:r>
              <w:rPr>
                <w:rFonts w:hint="eastAsia"/>
              </w:rPr>
              <w:t>指社会保险经办机构所在地的行政区划代码，参照GB/T2260-2007中华人民共和国行政区划代码,并按统一规则扩充</w:t>
            </w:r>
          </w:p>
        </w:tc>
      </w:tr>
      <w:tr w14:paraId="742BD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0CE8A4FB">
            <w:r>
              <w:rPr>
                <w:rFonts w:hint="eastAsia"/>
              </w:rPr>
              <w:t>1-2</w:t>
            </w:r>
          </w:p>
        </w:tc>
        <w:tc>
          <w:tcPr>
            <w:tcW w:w="2133" w:type="dxa"/>
            <w:noWrap w:val="0"/>
            <w:vAlign w:val="top"/>
          </w:tcPr>
          <w:p w14:paraId="0D4426A8">
            <w:pPr>
              <w:rPr>
                <w:rFonts w:hint="eastAsia"/>
              </w:rPr>
            </w:pPr>
            <w:r>
              <w:rPr>
                <w:rFonts w:hint="eastAsia"/>
              </w:rPr>
              <w:t>数据期别</w:t>
            </w:r>
          </w:p>
        </w:tc>
        <w:tc>
          <w:tcPr>
            <w:tcW w:w="897" w:type="dxa"/>
            <w:noWrap w:val="0"/>
            <w:vAlign w:val="top"/>
          </w:tcPr>
          <w:p w14:paraId="3B0B3AAF">
            <w:r>
              <w:rPr>
                <w:rFonts w:hint="eastAsia"/>
              </w:rPr>
              <w:t>AAB043</w:t>
            </w:r>
          </w:p>
        </w:tc>
        <w:tc>
          <w:tcPr>
            <w:tcW w:w="813" w:type="dxa"/>
            <w:noWrap w:val="0"/>
            <w:vAlign w:val="top"/>
          </w:tcPr>
          <w:p w14:paraId="088EB1A6">
            <w:pPr>
              <w:rPr>
                <w:rFonts w:hint="eastAsia"/>
              </w:rPr>
            </w:pPr>
            <w:r>
              <w:rPr>
                <w:rFonts w:hint="eastAsia"/>
              </w:rPr>
              <w:t>C</w:t>
            </w:r>
          </w:p>
        </w:tc>
        <w:tc>
          <w:tcPr>
            <w:tcW w:w="750" w:type="dxa"/>
            <w:noWrap w:val="0"/>
            <w:vAlign w:val="top"/>
          </w:tcPr>
          <w:p w14:paraId="6C723EBD">
            <w:r>
              <w:rPr>
                <w:rFonts w:hint="eastAsia"/>
              </w:rPr>
              <w:t>6</w:t>
            </w:r>
          </w:p>
        </w:tc>
        <w:tc>
          <w:tcPr>
            <w:tcW w:w="690" w:type="dxa"/>
            <w:noWrap w:val="0"/>
            <w:vAlign w:val="top"/>
          </w:tcPr>
          <w:p w14:paraId="7C75F6E4">
            <w:pPr>
              <w:rPr>
                <w:rFonts w:hint="eastAsia"/>
              </w:rPr>
            </w:pPr>
          </w:p>
        </w:tc>
        <w:tc>
          <w:tcPr>
            <w:tcW w:w="8700" w:type="dxa"/>
            <w:noWrap w:val="0"/>
            <w:vAlign w:val="top"/>
          </w:tcPr>
          <w:p w14:paraId="0156F042">
            <w:r>
              <w:rPr>
                <w:rFonts w:hint="eastAsia"/>
              </w:rPr>
              <w:t>指上报数据的年度和月份,表示方式为YYYYMM</w:t>
            </w:r>
          </w:p>
        </w:tc>
      </w:tr>
      <w:tr w14:paraId="63722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321316CC">
            <w:r>
              <w:rPr>
                <w:rFonts w:hint="eastAsia"/>
              </w:rPr>
              <w:t>1-3</w:t>
            </w:r>
          </w:p>
        </w:tc>
        <w:tc>
          <w:tcPr>
            <w:tcW w:w="2133" w:type="dxa"/>
            <w:noWrap w:val="0"/>
            <w:vAlign w:val="top"/>
          </w:tcPr>
          <w:p w14:paraId="70F13998">
            <w:pPr>
              <w:rPr>
                <w:rFonts w:hint="eastAsia"/>
              </w:rPr>
            </w:pPr>
            <w:r>
              <w:rPr>
                <w:rFonts w:hint="eastAsia"/>
              </w:rPr>
              <w:t>单位编号</w:t>
            </w:r>
          </w:p>
        </w:tc>
        <w:tc>
          <w:tcPr>
            <w:tcW w:w="897" w:type="dxa"/>
            <w:noWrap w:val="0"/>
            <w:vAlign w:val="top"/>
          </w:tcPr>
          <w:p w14:paraId="7FB7B8B5">
            <w:r>
              <w:rPr>
                <w:rFonts w:hint="eastAsia"/>
              </w:rPr>
              <w:t>AAB001</w:t>
            </w:r>
          </w:p>
        </w:tc>
        <w:tc>
          <w:tcPr>
            <w:tcW w:w="813" w:type="dxa"/>
            <w:noWrap w:val="0"/>
            <w:vAlign w:val="top"/>
          </w:tcPr>
          <w:p w14:paraId="11CD44DC">
            <w:pPr>
              <w:rPr>
                <w:rFonts w:hint="eastAsia"/>
              </w:rPr>
            </w:pPr>
            <w:r>
              <w:rPr>
                <w:rFonts w:hint="eastAsia"/>
              </w:rPr>
              <w:t>C</w:t>
            </w:r>
          </w:p>
        </w:tc>
        <w:tc>
          <w:tcPr>
            <w:tcW w:w="750" w:type="dxa"/>
            <w:noWrap w:val="0"/>
            <w:vAlign w:val="top"/>
          </w:tcPr>
          <w:p w14:paraId="1D18F5EA">
            <w:r>
              <w:rPr>
                <w:rFonts w:hint="eastAsia"/>
              </w:rPr>
              <w:t>20</w:t>
            </w:r>
          </w:p>
        </w:tc>
        <w:tc>
          <w:tcPr>
            <w:tcW w:w="690" w:type="dxa"/>
            <w:noWrap w:val="0"/>
            <w:vAlign w:val="top"/>
          </w:tcPr>
          <w:p w14:paraId="5225ADB2">
            <w:pPr>
              <w:rPr>
                <w:rFonts w:hint="eastAsia"/>
              </w:rPr>
            </w:pPr>
          </w:p>
        </w:tc>
        <w:tc>
          <w:tcPr>
            <w:tcW w:w="8700" w:type="dxa"/>
            <w:noWrap w:val="0"/>
            <w:vAlign w:val="top"/>
          </w:tcPr>
          <w:p w14:paraId="504DFF3B">
            <w:pPr>
              <w:rPr>
                <w:rFonts w:hint="eastAsia"/>
              </w:rPr>
            </w:pPr>
            <w:r>
              <w:rPr>
                <w:rFonts w:hint="eastAsia"/>
              </w:rPr>
              <w:t>指本地信息系统中用人单位的唯一识别号码</w:t>
            </w:r>
          </w:p>
        </w:tc>
      </w:tr>
      <w:tr w14:paraId="372915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222A3473">
            <w:r>
              <w:rPr>
                <w:rFonts w:hint="eastAsia"/>
              </w:rPr>
              <w:t>1-4</w:t>
            </w:r>
          </w:p>
        </w:tc>
        <w:tc>
          <w:tcPr>
            <w:tcW w:w="2133" w:type="dxa"/>
            <w:noWrap w:val="0"/>
            <w:vAlign w:val="top"/>
          </w:tcPr>
          <w:p w14:paraId="4294B139">
            <w:pPr>
              <w:rPr>
                <w:rFonts w:hint="eastAsia"/>
              </w:rPr>
            </w:pPr>
            <w:r>
              <w:rPr>
                <w:rFonts w:hint="eastAsia"/>
              </w:rPr>
              <w:t>单位名称</w:t>
            </w:r>
          </w:p>
        </w:tc>
        <w:tc>
          <w:tcPr>
            <w:tcW w:w="897" w:type="dxa"/>
            <w:noWrap w:val="0"/>
            <w:vAlign w:val="top"/>
          </w:tcPr>
          <w:p w14:paraId="52951281">
            <w:r>
              <w:rPr>
                <w:rFonts w:hint="eastAsia"/>
              </w:rPr>
              <w:t>AAB004</w:t>
            </w:r>
          </w:p>
        </w:tc>
        <w:tc>
          <w:tcPr>
            <w:tcW w:w="813" w:type="dxa"/>
            <w:noWrap w:val="0"/>
            <w:vAlign w:val="top"/>
          </w:tcPr>
          <w:p w14:paraId="525A65B2">
            <w:pPr>
              <w:rPr>
                <w:rFonts w:hint="eastAsia"/>
              </w:rPr>
            </w:pPr>
            <w:r>
              <w:rPr>
                <w:rFonts w:hint="eastAsia"/>
              </w:rPr>
              <w:t>C</w:t>
            </w:r>
          </w:p>
        </w:tc>
        <w:tc>
          <w:tcPr>
            <w:tcW w:w="750" w:type="dxa"/>
            <w:noWrap w:val="0"/>
            <w:vAlign w:val="top"/>
          </w:tcPr>
          <w:p w14:paraId="10E0563D">
            <w:r>
              <w:rPr>
                <w:rFonts w:hint="eastAsia"/>
              </w:rPr>
              <w:t>100</w:t>
            </w:r>
          </w:p>
        </w:tc>
        <w:tc>
          <w:tcPr>
            <w:tcW w:w="690" w:type="dxa"/>
            <w:noWrap w:val="0"/>
            <w:vAlign w:val="top"/>
          </w:tcPr>
          <w:p w14:paraId="3AA32C79">
            <w:pPr>
              <w:rPr>
                <w:rFonts w:hint="eastAsia"/>
              </w:rPr>
            </w:pPr>
          </w:p>
        </w:tc>
        <w:tc>
          <w:tcPr>
            <w:tcW w:w="8700" w:type="dxa"/>
            <w:noWrap w:val="0"/>
            <w:vAlign w:val="top"/>
          </w:tcPr>
          <w:p w14:paraId="3BD70C56">
            <w:pPr>
              <w:rPr>
                <w:rFonts w:hint="eastAsia"/>
              </w:rPr>
            </w:pPr>
            <w:r>
              <w:rPr>
                <w:rFonts w:hint="eastAsia"/>
              </w:rPr>
              <w:t>指用人单位的全称</w:t>
            </w:r>
          </w:p>
        </w:tc>
      </w:tr>
      <w:tr w14:paraId="01CF3C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6824F130">
            <w:r>
              <w:rPr>
                <w:rFonts w:hint="eastAsia"/>
              </w:rPr>
              <w:t>1-5</w:t>
            </w:r>
          </w:p>
        </w:tc>
        <w:tc>
          <w:tcPr>
            <w:tcW w:w="2133" w:type="dxa"/>
            <w:noWrap w:val="0"/>
            <w:vAlign w:val="top"/>
          </w:tcPr>
          <w:p w14:paraId="6E6516A7">
            <w:pPr>
              <w:rPr>
                <w:rFonts w:hint="eastAsia"/>
              </w:rPr>
            </w:pPr>
            <w:r>
              <w:rPr>
                <w:rFonts w:hint="eastAsia"/>
              </w:rPr>
              <w:t>组织机构代码</w:t>
            </w:r>
          </w:p>
        </w:tc>
        <w:tc>
          <w:tcPr>
            <w:tcW w:w="897" w:type="dxa"/>
            <w:noWrap w:val="0"/>
            <w:vAlign w:val="top"/>
          </w:tcPr>
          <w:p w14:paraId="77042884">
            <w:r>
              <w:rPr>
                <w:rFonts w:hint="eastAsia"/>
              </w:rPr>
              <w:t>AAB003</w:t>
            </w:r>
          </w:p>
        </w:tc>
        <w:tc>
          <w:tcPr>
            <w:tcW w:w="813" w:type="dxa"/>
            <w:noWrap w:val="0"/>
            <w:vAlign w:val="top"/>
          </w:tcPr>
          <w:p w14:paraId="58102561">
            <w:pPr>
              <w:rPr>
                <w:rFonts w:hint="eastAsia"/>
              </w:rPr>
            </w:pPr>
            <w:r>
              <w:rPr>
                <w:rFonts w:hint="eastAsia"/>
              </w:rPr>
              <w:t>C</w:t>
            </w:r>
          </w:p>
        </w:tc>
        <w:tc>
          <w:tcPr>
            <w:tcW w:w="750" w:type="dxa"/>
            <w:noWrap w:val="0"/>
            <w:vAlign w:val="top"/>
          </w:tcPr>
          <w:p w14:paraId="2C8CB8E9">
            <w:r>
              <w:rPr>
                <w:rFonts w:hint="eastAsia"/>
              </w:rPr>
              <w:t>9</w:t>
            </w:r>
          </w:p>
        </w:tc>
        <w:tc>
          <w:tcPr>
            <w:tcW w:w="690" w:type="dxa"/>
            <w:noWrap w:val="0"/>
            <w:vAlign w:val="top"/>
          </w:tcPr>
          <w:p w14:paraId="667758AB">
            <w:pPr>
              <w:rPr>
                <w:rFonts w:hint="eastAsia"/>
              </w:rPr>
            </w:pPr>
          </w:p>
        </w:tc>
        <w:tc>
          <w:tcPr>
            <w:tcW w:w="8700" w:type="dxa"/>
            <w:noWrap w:val="0"/>
            <w:vAlign w:val="top"/>
          </w:tcPr>
          <w:p w14:paraId="09426FD7">
            <w:pPr>
              <w:rPr>
                <w:rFonts w:hint="eastAsia"/>
              </w:rPr>
            </w:pPr>
            <w:r>
              <w:rPr>
                <w:rFonts w:hint="eastAsia"/>
              </w:rPr>
              <w:t>指国家质检部门颁发的《中华人民共和国组织机构代码证》中的代码（不含连字符“-”）</w:t>
            </w:r>
          </w:p>
        </w:tc>
      </w:tr>
      <w:tr w14:paraId="66D99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2C4FA17D">
            <w:r>
              <w:rPr>
                <w:rFonts w:hint="eastAsia"/>
              </w:rPr>
              <w:t>1-6</w:t>
            </w:r>
          </w:p>
        </w:tc>
        <w:tc>
          <w:tcPr>
            <w:tcW w:w="2133" w:type="dxa"/>
            <w:noWrap w:val="0"/>
            <w:vAlign w:val="top"/>
          </w:tcPr>
          <w:p w14:paraId="4A1D4081">
            <w:pPr>
              <w:rPr>
                <w:rFonts w:hint="eastAsia"/>
              </w:rPr>
            </w:pPr>
            <w:r>
              <w:rPr>
                <w:rFonts w:hint="eastAsia"/>
              </w:rPr>
              <w:t>统一社会信用代码</w:t>
            </w:r>
          </w:p>
        </w:tc>
        <w:tc>
          <w:tcPr>
            <w:tcW w:w="897" w:type="dxa"/>
            <w:noWrap w:val="0"/>
            <w:vAlign w:val="top"/>
          </w:tcPr>
          <w:p w14:paraId="6D29F7C4">
            <w:r>
              <w:rPr>
                <w:rFonts w:hint="eastAsia"/>
              </w:rPr>
              <w:t>AAB998</w:t>
            </w:r>
          </w:p>
        </w:tc>
        <w:tc>
          <w:tcPr>
            <w:tcW w:w="813" w:type="dxa"/>
            <w:noWrap w:val="0"/>
            <w:vAlign w:val="top"/>
          </w:tcPr>
          <w:p w14:paraId="5E3E6927">
            <w:pPr>
              <w:rPr>
                <w:rFonts w:hint="eastAsia"/>
              </w:rPr>
            </w:pPr>
            <w:r>
              <w:rPr>
                <w:rFonts w:hint="eastAsia"/>
              </w:rPr>
              <w:t>C</w:t>
            </w:r>
          </w:p>
        </w:tc>
        <w:tc>
          <w:tcPr>
            <w:tcW w:w="750" w:type="dxa"/>
            <w:noWrap w:val="0"/>
            <w:vAlign w:val="top"/>
          </w:tcPr>
          <w:p w14:paraId="3C74088A">
            <w:r>
              <w:rPr>
                <w:rFonts w:hint="eastAsia"/>
              </w:rPr>
              <w:t>18</w:t>
            </w:r>
          </w:p>
        </w:tc>
        <w:tc>
          <w:tcPr>
            <w:tcW w:w="690" w:type="dxa"/>
            <w:noWrap w:val="0"/>
            <w:vAlign w:val="top"/>
          </w:tcPr>
          <w:p w14:paraId="4191DE57">
            <w:pPr>
              <w:rPr>
                <w:rFonts w:hint="eastAsia"/>
              </w:rPr>
            </w:pPr>
          </w:p>
        </w:tc>
        <w:tc>
          <w:tcPr>
            <w:tcW w:w="8700" w:type="dxa"/>
            <w:noWrap w:val="0"/>
            <w:vAlign w:val="top"/>
          </w:tcPr>
          <w:p w14:paraId="1AAECEB0">
            <w:pPr>
              <w:rPr>
                <w:rFonts w:hint="eastAsia"/>
              </w:rPr>
            </w:pPr>
            <w:r>
              <w:rPr>
                <w:rFonts w:hint="eastAsia"/>
              </w:rPr>
              <w:t>指编制管理等部门批准成立后所赋的法人统一社会信用代码</w:t>
            </w:r>
          </w:p>
        </w:tc>
      </w:tr>
      <w:tr w14:paraId="707A19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5E545AB1">
            <w:r>
              <w:rPr>
                <w:rFonts w:hint="eastAsia"/>
              </w:rPr>
              <w:t>1-7</w:t>
            </w:r>
          </w:p>
        </w:tc>
        <w:tc>
          <w:tcPr>
            <w:tcW w:w="2133" w:type="dxa"/>
            <w:noWrap w:val="0"/>
            <w:vAlign w:val="top"/>
          </w:tcPr>
          <w:p w14:paraId="1289DFFE">
            <w:pPr>
              <w:rPr>
                <w:rFonts w:hint="eastAsia"/>
              </w:rPr>
            </w:pPr>
            <w:r>
              <w:rPr>
                <w:rFonts w:hint="eastAsia"/>
              </w:rPr>
              <w:t>单位类型</w:t>
            </w:r>
          </w:p>
        </w:tc>
        <w:tc>
          <w:tcPr>
            <w:tcW w:w="897" w:type="dxa"/>
            <w:noWrap w:val="0"/>
            <w:vAlign w:val="top"/>
          </w:tcPr>
          <w:p w14:paraId="539786BF">
            <w:r>
              <w:rPr>
                <w:rFonts w:hint="eastAsia"/>
              </w:rPr>
              <w:t>AAB019</w:t>
            </w:r>
          </w:p>
        </w:tc>
        <w:tc>
          <w:tcPr>
            <w:tcW w:w="813" w:type="dxa"/>
            <w:noWrap w:val="0"/>
            <w:vAlign w:val="top"/>
          </w:tcPr>
          <w:p w14:paraId="47D6CF22">
            <w:pPr>
              <w:rPr>
                <w:rFonts w:hint="eastAsia"/>
              </w:rPr>
            </w:pPr>
            <w:r>
              <w:rPr>
                <w:rFonts w:hint="eastAsia"/>
              </w:rPr>
              <w:t>C</w:t>
            </w:r>
          </w:p>
        </w:tc>
        <w:tc>
          <w:tcPr>
            <w:tcW w:w="750" w:type="dxa"/>
            <w:noWrap w:val="0"/>
            <w:vAlign w:val="top"/>
          </w:tcPr>
          <w:p w14:paraId="20E26F9A">
            <w:r>
              <w:rPr>
                <w:rFonts w:hint="eastAsia"/>
              </w:rPr>
              <w:t>2</w:t>
            </w:r>
          </w:p>
        </w:tc>
        <w:tc>
          <w:tcPr>
            <w:tcW w:w="690" w:type="dxa"/>
            <w:noWrap w:val="0"/>
            <w:vAlign w:val="top"/>
          </w:tcPr>
          <w:p w14:paraId="1A6E7E39">
            <w:r>
              <w:rPr>
                <w:rFonts w:hint="eastAsia"/>
              </w:rPr>
              <w:t>Y</w:t>
            </w:r>
          </w:p>
        </w:tc>
        <w:tc>
          <w:tcPr>
            <w:tcW w:w="8700" w:type="dxa"/>
            <w:noWrap w:val="0"/>
            <w:vAlign w:val="top"/>
          </w:tcPr>
          <w:p w14:paraId="30CF027E">
            <w:r>
              <w:rPr>
                <w:rFonts w:hint="eastAsia"/>
              </w:rPr>
              <w:t>参照GB/T20091-2006组织机构类型</w:t>
            </w:r>
          </w:p>
        </w:tc>
      </w:tr>
      <w:tr w14:paraId="64C50A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453A08F7">
            <w:r>
              <w:rPr>
                <w:rFonts w:hint="eastAsia"/>
              </w:rPr>
              <w:t>1-8</w:t>
            </w:r>
          </w:p>
        </w:tc>
        <w:tc>
          <w:tcPr>
            <w:tcW w:w="2133" w:type="dxa"/>
            <w:noWrap w:val="0"/>
            <w:vAlign w:val="top"/>
          </w:tcPr>
          <w:p w14:paraId="04E87F65">
            <w:pPr>
              <w:rPr>
                <w:rFonts w:hint="eastAsia"/>
              </w:rPr>
            </w:pPr>
            <w:r>
              <w:rPr>
                <w:rFonts w:hint="eastAsia"/>
              </w:rPr>
              <w:t>经济类型</w:t>
            </w:r>
          </w:p>
        </w:tc>
        <w:tc>
          <w:tcPr>
            <w:tcW w:w="897" w:type="dxa"/>
            <w:noWrap w:val="0"/>
            <w:vAlign w:val="top"/>
          </w:tcPr>
          <w:p w14:paraId="235A227E">
            <w:r>
              <w:rPr>
                <w:rFonts w:hint="eastAsia"/>
              </w:rPr>
              <w:t>AAB020</w:t>
            </w:r>
          </w:p>
        </w:tc>
        <w:tc>
          <w:tcPr>
            <w:tcW w:w="813" w:type="dxa"/>
            <w:noWrap w:val="0"/>
            <w:vAlign w:val="top"/>
          </w:tcPr>
          <w:p w14:paraId="70FA6D08">
            <w:pPr>
              <w:rPr>
                <w:rFonts w:hint="eastAsia"/>
              </w:rPr>
            </w:pPr>
            <w:r>
              <w:rPr>
                <w:rFonts w:hint="eastAsia"/>
              </w:rPr>
              <w:t>C</w:t>
            </w:r>
          </w:p>
        </w:tc>
        <w:tc>
          <w:tcPr>
            <w:tcW w:w="750" w:type="dxa"/>
            <w:noWrap w:val="0"/>
            <w:vAlign w:val="top"/>
          </w:tcPr>
          <w:p w14:paraId="554DCDD9">
            <w:r>
              <w:rPr>
                <w:rFonts w:hint="eastAsia"/>
              </w:rPr>
              <w:t>3</w:t>
            </w:r>
          </w:p>
        </w:tc>
        <w:tc>
          <w:tcPr>
            <w:tcW w:w="690" w:type="dxa"/>
            <w:noWrap w:val="0"/>
            <w:vAlign w:val="top"/>
          </w:tcPr>
          <w:p w14:paraId="5479623F">
            <w:pPr>
              <w:rPr>
                <w:rFonts w:hint="eastAsia"/>
              </w:rPr>
            </w:pPr>
            <w:r>
              <w:rPr>
                <w:rFonts w:hint="eastAsia"/>
              </w:rPr>
              <w:t>Y</w:t>
            </w:r>
          </w:p>
        </w:tc>
        <w:tc>
          <w:tcPr>
            <w:tcW w:w="8700" w:type="dxa"/>
            <w:noWrap w:val="0"/>
            <w:vAlign w:val="top"/>
          </w:tcPr>
          <w:p w14:paraId="3F2EEE41">
            <w:r>
              <w:rPr>
                <w:rFonts w:hint="eastAsia"/>
              </w:rPr>
              <w:t>参照GB/T12402-2000经济类型分类与代码。非企业单位（机关、事业、社会团体等）此项为空</w:t>
            </w:r>
          </w:p>
        </w:tc>
      </w:tr>
      <w:tr w14:paraId="424B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05C2AB23">
            <w:r>
              <w:rPr>
                <w:rFonts w:hint="eastAsia"/>
              </w:rPr>
              <w:t>1-9</w:t>
            </w:r>
          </w:p>
        </w:tc>
        <w:tc>
          <w:tcPr>
            <w:tcW w:w="2133" w:type="dxa"/>
            <w:noWrap w:val="0"/>
            <w:vAlign w:val="top"/>
          </w:tcPr>
          <w:p w14:paraId="3427C268">
            <w:pPr>
              <w:rPr>
                <w:rFonts w:hint="eastAsia"/>
              </w:rPr>
            </w:pPr>
            <w:r>
              <w:rPr>
                <w:rFonts w:hint="eastAsia"/>
              </w:rPr>
              <w:t>隶属关系</w:t>
            </w:r>
          </w:p>
        </w:tc>
        <w:tc>
          <w:tcPr>
            <w:tcW w:w="897" w:type="dxa"/>
            <w:noWrap w:val="0"/>
            <w:vAlign w:val="top"/>
          </w:tcPr>
          <w:p w14:paraId="3C77B4A2">
            <w:r>
              <w:rPr>
                <w:rFonts w:hint="eastAsia"/>
              </w:rPr>
              <w:t>AAB021</w:t>
            </w:r>
          </w:p>
        </w:tc>
        <w:tc>
          <w:tcPr>
            <w:tcW w:w="813" w:type="dxa"/>
            <w:noWrap w:val="0"/>
            <w:vAlign w:val="top"/>
          </w:tcPr>
          <w:p w14:paraId="3FAA6A85">
            <w:pPr>
              <w:rPr>
                <w:rFonts w:hint="eastAsia"/>
              </w:rPr>
            </w:pPr>
            <w:r>
              <w:rPr>
                <w:rFonts w:hint="eastAsia"/>
              </w:rPr>
              <w:t>C</w:t>
            </w:r>
          </w:p>
        </w:tc>
        <w:tc>
          <w:tcPr>
            <w:tcW w:w="750" w:type="dxa"/>
            <w:noWrap w:val="0"/>
            <w:vAlign w:val="top"/>
          </w:tcPr>
          <w:p w14:paraId="55ABB6CB">
            <w:r>
              <w:rPr>
                <w:rFonts w:hint="eastAsia"/>
              </w:rPr>
              <w:t>2</w:t>
            </w:r>
          </w:p>
        </w:tc>
        <w:tc>
          <w:tcPr>
            <w:tcW w:w="690" w:type="dxa"/>
            <w:noWrap w:val="0"/>
            <w:vAlign w:val="top"/>
          </w:tcPr>
          <w:p w14:paraId="47F08A32">
            <w:pPr>
              <w:rPr>
                <w:rFonts w:hint="eastAsia"/>
              </w:rPr>
            </w:pPr>
            <w:r>
              <w:rPr>
                <w:rFonts w:hint="eastAsia"/>
              </w:rPr>
              <w:t>Y</w:t>
            </w:r>
          </w:p>
        </w:tc>
        <w:tc>
          <w:tcPr>
            <w:tcW w:w="8700" w:type="dxa"/>
            <w:noWrap w:val="0"/>
            <w:vAlign w:val="top"/>
          </w:tcPr>
          <w:p w14:paraId="0D8188B0">
            <w:r>
              <w:rPr>
                <w:rFonts w:hint="eastAsia"/>
              </w:rPr>
              <w:t>参照GB/T12404-1997单位隶属关系代码</w:t>
            </w:r>
          </w:p>
        </w:tc>
      </w:tr>
      <w:tr w14:paraId="661142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45D66F97">
            <w:r>
              <w:rPr>
                <w:rFonts w:hint="eastAsia"/>
              </w:rPr>
              <w:t>1-10</w:t>
            </w:r>
          </w:p>
        </w:tc>
        <w:tc>
          <w:tcPr>
            <w:tcW w:w="2133" w:type="dxa"/>
            <w:noWrap w:val="0"/>
            <w:vAlign w:val="top"/>
          </w:tcPr>
          <w:p w14:paraId="5DA427CA">
            <w:pPr>
              <w:rPr>
                <w:rFonts w:hint="eastAsia"/>
              </w:rPr>
            </w:pPr>
            <w:r>
              <w:rPr>
                <w:rFonts w:hint="eastAsia"/>
              </w:rPr>
              <w:t>所属行业</w:t>
            </w:r>
          </w:p>
        </w:tc>
        <w:tc>
          <w:tcPr>
            <w:tcW w:w="897" w:type="dxa"/>
            <w:noWrap w:val="0"/>
            <w:vAlign w:val="top"/>
          </w:tcPr>
          <w:p w14:paraId="28555B81">
            <w:r>
              <w:rPr>
                <w:rFonts w:hint="eastAsia"/>
              </w:rPr>
              <w:t>AAB022</w:t>
            </w:r>
          </w:p>
        </w:tc>
        <w:tc>
          <w:tcPr>
            <w:tcW w:w="813" w:type="dxa"/>
            <w:noWrap w:val="0"/>
            <w:vAlign w:val="top"/>
          </w:tcPr>
          <w:p w14:paraId="53E36670">
            <w:pPr>
              <w:rPr>
                <w:rFonts w:hint="eastAsia"/>
              </w:rPr>
            </w:pPr>
            <w:r>
              <w:rPr>
                <w:rFonts w:hint="eastAsia"/>
              </w:rPr>
              <w:t>C</w:t>
            </w:r>
          </w:p>
        </w:tc>
        <w:tc>
          <w:tcPr>
            <w:tcW w:w="750" w:type="dxa"/>
            <w:noWrap w:val="0"/>
            <w:vAlign w:val="top"/>
          </w:tcPr>
          <w:p w14:paraId="0DDA3671">
            <w:r>
              <w:rPr>
                <w:rFonts w:hint="eastAsia"/>
              </w:rPr>
              <w:t>5</w:t>
            </w:r>
          </w:p>
        </w:tc>
        <w:tc>
          <w:tcPr>
            <w:tcW w:w="690" w:type="dxa"/>
            <w:noWrap w:val="0"/>
            <w:vAlign w:val="top"/>
          </w:tcPr>
          <w:p w14:paraId="7078324B">
            <w:pPr>
              <w:rPr>
                <w:rFonts w:hint="eastAsia"/>
              </w:rPr>
            </w:pPr>
            <w:r>
              <w:rPr>
                <w:rFonts w:hint="eastAsia"/>
              </w:rPr>
              <w:t>Y</w:t>
            </w:r>
          </w:p>
        </w:tc>
        <w:tc>
          <w:tcPr>
            <w:tcW w:w="8700" w:type="dxa"/>
            <w:noWrap w:val="0"/>
            <w:vAlign w:val="top"/>
          </w:tcPr>
          <w:p w14:paraId="6D82781D">
            <w:r>
              <w:rPr>
                <w:rFonts w:hint="eastAsia"/>
              </w:rPr>
              <w:t>参照GB/T4754-2014国民经济行业分类，记录到门类和大类</w:t>
            </w:r>
          </w:p>
        </w:tc>
      </w:tr>
      <w:tr w14:paraId="0917E0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165532D4">
            <w:r>
              <w:rPr>
                <w:rFonts w:hint="eastAsia"/>
              </w:rPr>
              <w:t>1-11</w:t>
            </w:r>
          </w:p>
        </w:tc>
        <w:tc>
          <w:tcPr>
            <w:tcW w:w="2133" w:type="dxa"/>
            <w:noWrap w:val="0"/>
            <w:vAlign w:val="top"/>
          </w:tcPr>
          <w:p w14:paraId="2186CE19">
            <w:pPr>
              <w:rPr>
                <w:rFonts w:hint="eastAsia"/>
              </w:rPr>
            </w:pPr>
            <w:r>
              <w:rPr>
                <w:rFonts w:hint="eastAsia"/>
              </w:rPr>
              <w:t>个人编号</w:t>
            </w:r>
          </w:p>
        </w:tc>
        <w:tc>
          <w:tcPr>
            <w:tcW w:w="897" w:type="dxa"/>
            <w:noWrap w:val="0"/>
            <w:vAlign w:val="top"/>
          </w:tcPr>
          <w:p w14:paraId="7E1A186C">
            <w:r>
              <w:rPr>
                <w:rFonts w:hint="eastAsia"/>
              </w:rPr>
              <w:t>AAC001</w:t>
            </w:r>
          </w:p>
        </w:tc>
        <w:tc>
          <w:tcPr>
            <w:tcW w:w="813" w:type="dxa"/>
            <w:noWrap w:val="0"/>
            <w:vAlign w:val="top"/>
          </w:tcPr>
          <w:p w14:paraId="7C5B50D4">
            <w:pPr>
              <w:rPr>
                <w:rFonts w:hint="eastAsia"/>
              </w:rPr>
            </w:pPr>
            <w:r>
              <w:rPr>
                <w:rFonts w:hint="eastAsia"/>
              </w:rPr>
              <w:t>C</w:t>
            </w:r>
          </w:p>
        </w:tc>
        <w:tc>
          <w:tcPr>
            <w:tcW w:w="750" w:type="dxa"/>
            <w:noWrap w:val="0"/>
            <w:vAlign w:val="top"/>
          </w:tcPr>
          <w:p w14:paraId="4824F081">
            <w:r>
              <w:rPr>
                <w:rFonts w:hint="eastAsia"/>
              </w:rPr>
              <w:t>20</w:t>
            </w:r>
          </w:p>
        </w:tc>
        <w:tc>
          <w:tcPr>
            <w:tcW w:w="690" w:type="dxa"/>
            <w:noWrap w:val="0"/>
            <w:vAlign w:val="top"/>
          </w:tcPr>
          <w:p w14:paraId="1A0A827B">
            <w:pPr>
              <w:rPr>
                <w:rFonts w:hint="eastAsia"/>
              </w:rPr>
            </w:pPr>
          </w:p>
        </w:tc>
        <w:tc>
          <w:tcPr>
            <w:tcW w:w="8700" w:type="dxa"/>
            <w:noWrap w:val="0"/>
            <w:vAlign w:val="top"/>
          </w:tcPr>
          <w:p w14:paraId="60946244">
            <w:pPr>
              <w:rPr>
                <w:rFonts w:hint="eastAsia"/>
              </w:rPr>
            </w:pPr>
            <w:r>
              <w:rPr>
                <w:rFonts w:hint="eastAsia"/>
              </w:rPr>
              <w:t>指本地信息系统中，参保人员的唯一识别号码</w:t>
            </w:r>
          </w:p>
        </w:tc>
      </w:tr>
      <w:tr w14:paraId="3AB5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14892B57">
            <w:r>
              <w:rPr>
                <w:rFonts w:hint="eastAsia"/>
              </w:rPr>
              <w:t>1-12</w:t>
            </w:r>
          </w:p>
        </w:tc>
        <w:tc>
          <w:tcPr>
            <w:tcW w:w="2133" w:type="dxa"/>
            <w:noWrap w:val="0"/>
            <w:vAlign w:val="top"/>
          </w:tcPr>
          <w:p w14:paraId="5BE04B7F">
            <w:pPr>
              <w:rPr>
                <w:rFonts w:hint="eastAsia"/>
              </w:rPr>
            </w:pPr>
            <w:r>
              <w:rPr>
                <w:rFonts w:hint="eastAsia"/>
              </w:rPr>
              <w:t>姓名</w:t>
            </w:r>
          </w:p>
        </w:tc>
        <w:tc>
          <w:tcPr>
            <w:tcW w:w="897" w:type="dxa"/>
            <w:noWrap w:val="0"/>
            <w:vAlign w:val="top"/>
          </w:tcPr>
          <w:p w14:paraId="2DCFFEDC">
            <w:r>
              <w:rPr>
                <w:rFonts w:hint="eastAsia"/>
              </w:rPr>
              <w:t>AAC003</w:t>
            </w:r>
          </w:p>
        </w:tc>
        <w:tc>
          <w:tcPr>
            <w:tcW w:w="813" w:type="dxa"/>
            <w:noWrap w:val="0"/>
            <w:vAlign w:val="top"/>
          </w:tcPr>
          <w:p w14:paraId="70A3C155">
            <w:pPr>
              <w:rPr>
                <w:rFonts w:hint="eastAsia"/>
              </w:rPr>
            </w:pPr>
            <w:r>
              <w:rPr>
                <w:rFonts w:hint="eastAsia"/>
              </w:rPr>
              <w:t>C</w:t>
            </w:r>
          </w:p>
        </w:tc>
        <w:tc>
          <w:tcPr>
            <w:tcW w:w="750" w:type="dxa"/>
            <w:noWrap w:val="0"/>
            <w:vAlign w:val="top"/>
          </w:tcPr>
          <w:p w14:paraId="021B8DEB">
            <w:r>
              <w:rPr>
                <w:rFonts w:hint="eastAsia"/>
              </w:rPr>
              <w:t>50</w:t>
            </w:r>
          </w:p>
        </w:tc>
        <w:tc>
          <w:tcPr>
            <w:tcW w:w="690" w:type="dxa"/>
            <w:noWrap w:val="0"/>
            <w:vAlign w:val="top"/>
          </w:tcPr>
          <w:p w14:paraId="0BAD8601">
            <w:pPr>
              <w:rPr>
                <w:rFonts w:hint="eastAsia"/>
              </w:rPr>
            </w:pPr>
          </w:p>
        </w:tc>
        <w:tc>
          <w:tcPr>
            <w:tcW w:w="8700" w:type="dxa"/>
            <w:noWrap w:val="0"/>
            <w:vAlign w:val="top"/>
          </w:tcPr>
          <w:p w14:paraId="56F66700">
            <w:pPr>
              <w:rPr>
                <w:rFonts w:hint="eastAsia"/>
              </w:rPr>
            </w:pPr>
            <w:r>
              <w:rPr>
                <w:rFonts w:hint="eastAsia"/>
              </w:rPr>
              <w:t>（略）</w:t>
            </w:r>
          </w:p>
        </w:tc>
      </w:tr>
      <w:tr w14:paraId="3293CD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0237765F">
            <w:r>
              <w:rPr>
                <w:rFonts w:hint="eastAsia"/>
              </w:rPr>
              <w:t>1-13</w:t>
            </w:r>
          </w:p>
        </w:tc>
        <w:tc>
          <w:tcPr>
            <w:tcW w:w="2133" w:type="dxa"/>
            <w:noWrap w:val="0"/>
            <w:vAlign w:val="top"/>
          </w:tcPr>
          <w:p w14:paraId="32F84C50">
            <w:pPr>
              <w:rPr>
                <w:rFonts w:hint="eastAsia"/>
              </w:rPr>
            </w:pPr>
            <w:r>
              <w:rPr>
                <w:rFonts w:hint="eastAsia"/>
              </w:rPr>
              <w:t>性别</w:t>
            </w:r>
          </w:p>
        </w:tc>
        <w:tc>
          <w:tcPr>
            <w:tcW w:w="897" w:type="dxa"/>
            <w:noWrap w:val="0"/>
            <w:vAlign w:val="top"/>
          </w:tcPr>
          <w:p w14:paraId="71911B50">
            <w:r>
              <w:rPr>
                <w:rFonts w:hint="eastAsia"/>
              </w:rPr>
              <w:t>AAC004</w:t>
            </w:r>
          </w:p>
        </w:tc>
        <w:tc>
          <w:tcPr>
            <w:tcW w:w="813" w:type="dxa"/>
            <w:noWrap w:val="0"/>
            <w:vAlign w:val="top"/>
          </w:tcPr>
          <w:p w14:paraId="386AC472">
            <w:pPr>
              <w:rPr>
                <w:rFonts w:hint="eastAsia"/>
              </w:rPr>
            </w:pPr>
            <w:r>
              <w:rPr>
                <w:rFonts w:hint="eastAsia"/>
              </w:rPr>
              <w:t>C</w:t>
            </w:r>
          </w:p>
        </w:tc>
        <w:tc>
          <w:tcPr>
            <w:tcW w:w="750" w:type="dxa"/>
            <w:noWrap w:val="0"/>
            <w:vAlign w:val="top"/>
          </w:tcPr>
          <w:p w14:paraId="6E41AF81">
            <w:r>
              <w:rPr>
                <w:rFonts w:hint="eastAsia"/>
              </w:rPr>
              <w:t>1</w:t>
            </w:r>
          </w:p>
        </w:tc>
        <w:tc>
          <w:tcPr>
            <w:tcW w:w="690" w:type="dxa"/>
            <w:noWrap w:val="0"/>
            <w:vAlign w:val="top"/>
          </w:tcPr>
          <w:p w14:paraId="25D87EC7">
            <w:pPr>
              <w:rPr>
                <w:rFonts w:hint="eastAsia"/>
              </w:rPr>
            </w:pPr>
            <w:r>
              <w:rPr>
                <w:rFonts w:hint="eastAsia"/>
              </w:rPr>
              <w:t>Y</w:t>
            </w:r>
          </w:p>
        </w:tc>
        <w:tc>
          <w:tcPr>
            <w:tcW w:w="8700" w:type="dxa"/>
            <w:noWrap w:val="0"/>
            <w:vAlign w:val="top"/>
          </w:tcPr>
          <w:p w14:paraId="2150EBCF">
            <w:pPr>
              <w:rPr>
                <w:rFonts w:hint="eastAsia"/>
              </w:rPr>
            </w:pPr>
            <w:r>
              <w:rPr>
                <w:rFonts w:hint="eastAsia"/>
              </w:rPr>
              <w:t>（略）</w:t>
            </w:r>
          </w:p>
        </w:tc>
      </w:tr>
      <w:tr w14:paraId="2CC2C2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6F27A31D">
            <w:r>
              <w:rPr>
                <w:rFonts w:hint="eastAsia"/>
              </w:rPr>
              <w:t>1-14</w:t>
            </w:r>
          </w:p>
        </w:tc>
        <w:tc>
          <w:tcPr>
            <w:tcW w:w="2133" w:type="dxa"/>
            <w:noWrap w:val="0"/>
            <w:vAlign w:val="top"/>
          </w:tcPr>
          <w:p w14:paraId="43ED8DCB">
            <w:pPr>
              <w:rPr>
                <w:rFonts w:hint="eastAsia"/>
              </w:rPr>
            </w:pPr>
            <w:r>
              <w:rPr>
                <w:rFonts w:hint="eastAsia"/>
              </w:rPr>
              <w:t>公民身份证号码</w:t>
            </w:r>
          </w:p>
        </w:tc>
        <w:tc>
          <w:tcPr>
            <w:tcW w:w="897" w:type="dxa"/>
            <w:noWrap w:val="0"/>
            <w:vAlign w:val="top"/>
          </w:tcPr>
          <w:p w14:paraId="3DD876E9">
            <w:r>
              <w:rPr>
                <w:rFonts w:hint="eastAsia"/>
              </w:rPr>
              <w:t>AAC002</w:t>
            </w:r>
          </w:p>
        </w:tc>
        <w:tc>
          <w:tcPr>
            <w:tcW w:w="813" w:type="dxa"/>
            <w:noWrap w:val="0"/>
            <w:vAlign w:val="top"/>
          </w:tcPr>
          <w:p w14:paraId="44982C8A">
            <w:pPr>
              <w:rPr>
                <w:rFonts w:hint="eastAsia"/>
              </w:rPr>
            </w:pPr>
            <w:r>
              <w:rPr>
                <w:rFonts w:hint="eastAsia"/>
              </w:rPr>
              <w:t>C</w:t>
            </w:r>
          </w:p>
        </w:tc>
        <w:tc>
          <w:tcPr>
            <w:tcW w:w="750" w:type="dxa"/>
            <w:noWrap w:val="0"/>
            <w:vAlign w:val="top"/>
          </w:tcPr>
          <w:p w14:paraId="745F6372">
            <w:r>
              <w:rPr>
                <w:rFonts w:hint="eastAsia"/>
              </w:rPr>
              <w:t>18</w:t>
            </w:r>
          </w:p>
        </w:tc>
        <w:tc>
          <w:tcPr>
            <w:tcW w:w="690" w:type="dxa"/>
            <w:noWrap w:val="0"/>
            <w:vAlign w:val="top"/>
          </w:tcPr>
          <w:p w14:paraId="198EB36B">
            <w:pPr>
              <w:rPr>
                <w:rFonts w:hint="eastAsia"/>
              </w:rPr>
            </w:pPr>
          </w:p>
        </w:tc>
        <w:tc>
          <w:tcPr>
            <w:tcW w:w="8700" w:type="dxa"/>
            <w:noWrap w:val="0"/>
            <w:vAlign w:val="top"/>
          </w:tcPr>
          <w:p w14:paraId="02B7BCF4">
            <w:pPr>
              <w:rPr>
                <w:rFonts w:hint="eastAsia"/>
              </w:rPr>
            </w:pPr>
            <w:r>
              <w:rPr>
                <w:rFonts w:hint="eastAsia"/>
              </w:rPr>
              <w:t>（略）</w:t>
            </w:r>
          </w:p>
        </w:tc>
      </w:tr>
      <w:tr w14:paraId="0C39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38650F45">
            <w:r>
              <w:rPr>
                <w:rFonts w:hint="eastAsia"/>
              </w:rPr>
              <w:t>1-15</w:t>
            </w:r>
          </w:p>
        </w:tc>
        <w:tc>
          <w:tcPr>
            <w:tcW w:w="2133" w:type="dxa"/>
            <w:noWrap w:val="0"/>
            <w:vAlign w:val="top"/>
          </w:tcPr>
          <w:p w14:paraId="2529AB72">
            <w:pPr>
              <w:rPr>
                <w:rFonts w:hint="eastAsia"/>
              </w:rPr>
            </w:pPr>
            <w:r>
              <w:rPr>
                <w:rFonts w:hint="eastAsia"/>
              </w:rPr>
              <w:t>参保日期</w:t>
            </w:r>
          </w:p>
        </w:tc>
        <w:tc>
          <w:tcPr>
            <w:tcW w:w="897" w:type="dxa"/>
            <w:noWrap w:val="0"/>
            <w:vAlign w:val="top"/>
          </w:tcPr>
          <w:p w14:paraId="0D23A822">
            <w:r>
              <w:rPr>
                <w:rFonts w:hint="eastAsia"/>
              </w:rPr>
              <w:t>AAC030</w:t>
            </w:r>
          </w:p>
        </w:tc>
        <w:tc>
          <w:tcPr>
            <w:tcW w:w="813" w:type="dxa"/>
            <w:noWrap w:val="0"/>
            <w:vAlign w:val="top"/>
          </w:tcPr>
          <w:p w14:paraId="3D5026F4">
            <w:pPr>
              <w:rPr>
                <w:rFonts w:hint="eastAsia"/>
              </w:rPr>
            </w:pPr>
            <w:r>
              <w:rPr>
                <w:rFonts w:hint="eastAsia"/>
              </w:rPr>
              <w:t>C</w:t>
            </w:r>
          </w:p>
        </w:tc>
        <w:tc>
          <w:tcPr>
            <w:tcW w:w="750" w:type="dxa"/>
            <w:noWrap w:val="0"/>
            <w:vAlign w:val="top"/>
          </w:tcPr>
          <w:p w14:paraId="08A0ADA4">
            <w:r>
              <w:rPr>
                <w:rFonts w:hint="eastAsia"/>
              </w:rPr>
              <w:t>8</w:t>
            </w:r>
          </w:p>
        </w:tc>
        <w:tc>
          <w:tcPr>
            <w:tcW w:w="690" w:type="dxa"/>
            <w:noWrap w:val="0"/>
            <w:vAlign w:val="top"/>
          </w:tcPr>
          <w:p w14:paraId="54797345">
            <w:pPr>
              <w:rPr>
                <w:rFonts w:hint="eastAsia"/>
              </w:rPr>
            </w:pPr>
          </w:p>
        </w:tc>
        <w:tc>
          <w:tcPr>
            <w:tcW w:w="8700" w:type="dxa"/>
            <w:noWrap w:val="0"/>
            <w:vAlign w:val="top"/>
          </w:tcPr>
          <w:p w14:paraId="783F462B">
            <w:r>
              <w:rPr>
                <w:rFonts w:hint="eastAsia"/>
              </w:rPr>
              <w:t>指参保人员在对应扩岗补助领取单位参加失业保险的日期，表示方式为YYYYMMDD</w:t>
            </w:r>
          </w:p>
        </w:tc>
      </w:tr>
      <w:tr w14:paraId="457CD7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605A2D28">
            <w:r>
              <w:rPr>
                <w:rFonts w:hint="eastAsia"/>
              </w:rPr>
              <w:t>1-16</w:t>
            </w:r>
          </w:p>
        </w:tc>
        <w:tc>
          <w:tcPr>
            <w:tcW w:w="2133" w:type="dxa"/>
            <w:noWrap w:val="0"/>
            <w:vAlign w:val="top"/>
          </w:tcPr>
          <w:p w14:paraId="349A5FC5">
            <w:pPr>
              <w:rPr>
                <w:rFonts w:hint="eastAsia"/>
              </w:rPr>
            </w:pPr>
            <w:r>
              <w:rPr>
                <w:rFonts w:hint="eastAsia"/>
              </w:rPr>
              <w:t>个人缴费状态</w:t>
            </w:r>
          </w:p>
        </w:tc>
        <w:tc>
          <w:tcPr>
            <w:tcW w:w="897" w:type="dxa"/>
            <w:noWrap w:val="0"/>
            <w:vAlign w:val="top"/>
          </w:tcPr>
          <w:p w14:paraId="7AD8B655">
            <w:r>
              <w:rPr>
                <w:rFonts w:hint="eastAsia"/>
              </w:rPr>
              <w:t>AAC031</w:t>
            </w:r>
          </w:p>
        </w:tc>
        <w:tc>
          <w:tcPr>
            <w:tcW w:w="813" w:type="dxa"/>
            <w:noWrap w:val="0"/>
            <w:vAlign w:val="top"/>
          </w:tcPr>
          <w:p w14:paraId="6E20AF00">
            <w:pPr>
              <w:rPr>
                <w:rFonts w:hint="eastAsia"/>
              </w:rPr>
            </w:pPr>
            <w:r>
              <w:rPr>
                <w:rFonts w:hint="eastAsia"/>
              </w:rPr>
              <w:t>C</w:t>
            </w:r>
          </w:p>
        </w:tc>
        <w:tc>
          <w:tcPr>
            <w:tcW w:w="750" w:type="dxa"/>
            <w:noWrap w:val="0"/>
            <w:vAlign w:val="top"/>
          </w:tcPr>
          <w:p w14:paraId="77A46873">
            <w:r>
              <w:rPr>
                <w:rFonts w:hint="eastAsia"/>
              </w:rPr>
              <w:t>1</w:t>
            </w:r>
          </w:p>
        </w:tc>
        <w:tc>
          <w:tcPr>
            <w:tcW w:w="690" w:type="dxa"/>
            <w:noWrap w:val="0"/>
            <w:vAlign w:val="top"/>
          </w:tcPr>
          <w:p w14:paraId="4F7F541A">
            <w:pPr>
              <w:rPr>
                <w:rFonts w:hint="eastAsia"/>
              </w:rPr>
            </w:pPr>
            <w:r>
              <w:rPr>
                <w:rFonts w:hint="eastAsia"/>
              </w:rPr>
              <w:t>Y</w:t>
            </w:r>
          </w:p>
        </w:tc>
        <w:tc>
          <w:tcPr>
            <w:tcW w:w="8700" w:type="dxa"/>
            <w:noWrap w:val="0"/>
            <w:vAlign w:val="top"/>
          </w:tcPr>
          <w:p w14:paraId="7CB39649">
            <w:pPr>
              <w:rPr>
                <w:rFonts w:hint="eastAsia"/>
              </w:rPr>
            </w:pPr>
            <w:r>
              <w:rPr>
                <w:rFonts w:hint="eastAsia"/>
              </w:rPr>
              <w:t>指报告期（当月）参保人员在对应单位的缴费情况，按参保缴费、暂停缴费（中断）、终止缴费分类</w:t>
            </w:r>
          </w:p>
        </w:tc>
      </w:tr>
      <w:tr w14:paraId="5C4D75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0CB4C394">
            <w:r>
              <w:rPr>
                <w:rFonts w:hint="eastAsia"/>
              </w:rPr>
              <w:t>1-17</w:t>
            </w:r>
          </w:p>
        </w:tc>
        <w:tc>
          <w:tcPr>
            <w:tcW w:w="2133" w:type="dxa"/>
            <w:noWrap w:val="0"/>
            <w:vAlign w:val="top"/>
          </w:tcPr>
          <w:p w14:paraId="3AA36EB4">
            <w:pPr>
              <w:rPr>
                <w:rFonts w:hint="eastAsia"/>
              </w:rPr>
            </w:pPr>
            <w:r>
              <w:rPr>
                <w:rFonts w:hint="eastAsia"/>
              </w:rPr>
              <w:t>实际缴费月数</w:t>
            </w:r>
          </w:p>
        </w:tc>
        <w:tc>
          <w:tcPr>
            <w:tcW w:w="897" w:type="dxa"/>
            <w:noWrap w:val="0"/>
            <w:vAlign w:val="top"/>
          </w:tcPr>
          <w:p w14:paraId="1164E9A4">
            <w:r>
              <w:rPr>
                <w:rFonts w:hint="eastAsia"/>
              </w:rPr>
              <w:t>AJC052</w:t>
            </w:r>
          </w:p>
        </w:tc>
        <w:tc>
          <w:tcPr>
            <w:tcW w:w="813" w:type="dxa"/>
            <w:noWrap w:val="0"/>
            <w:vAlign w:val="top"/>
          </w:tcPr>
          <w:p w14:paraId="696F45F1">
            <w:r>
              <w:rPr>
                <w:rFonts w:hint="eastAsia"/>
              </w:rPr>
              <w:t>N</w:t>
            </w:r>
          </w:p>
        </w:tc>
        <w:tc>
          <w:tcPr>
            <w:tcW w:w="750" w:type="dxa"/>
            <w:noWrap w:val="0"/>
            <w:vAlign w:val="top"/>
          </w:tcPr>
          <w:p w14:paraId="69A6B881">
            <w:r>
              <w:rPr>
                <w:rFonts w:hint="eastAsia"/>
              </w:rPr>
              <w:t>3</w:t>
            </w:r>
          </w:p>
        </w:tc>
        <w:tc>
          <w:tcPr>
            <w:tcW w:w="690" w:type="dxa"/>
            <w:noWrap w:val="0"/>
            <w:vAlign w:val="top"/>
          </w:tcPr>
          <w:p w14:paraId="7BF3EF08">
            <w:pPr>
              <w:rPr>
                <w:rFonts w:hint="eastAsia"/>
              </w:rPr>
            </w:pPr>
          </w:p>
        </w:tc>
        <w:tc>
          <w:tcPr>
            <w:tcW w:w="8700" w:type="dxa"/>
            <w:noWrap w:val="0"/>
            <w:vAlign w:val="top"/>
          </w:tcPr>
          <w:p w14:paraId="6463E53D">
            <w:pPr>
              <w:rPr>
                <w:rFonts w:hint="eastAsia"/>
              </w:rPr>
            </w:pPr>
            <w:r>
              <w:rPr>
                <w:rFonts w:hint="eastAsia"/>
              </w:rPr>
              <w:t>指报告期末参保人员在对应单位的实际缴费月数</w:t>
            </w:r>
          </w:p>
        </w:tc>
      </w:tr>
      <w:tr w14:paraId="61FA5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75661C2D">
            <w:r>
              <w:rPr>
                <w:rFonts w:hint="eastAsia"/>
              </w:rPr>
              <w:t>1-18</w:t>
            </w:r>
          </w:p>
        </w:tc>
        <w:tc>
          <w:tcPr>
            <w:tcW w:w="2133" w:type="dxa"/>
            <w:noWrap w:val="0"/>
            <w:vAlign w:val="top"/>
          </w:tcPr>
          <w:p w14:paraId="1D7EA8A1">
            <w:pPr>
              <w:rPr>
                <w:rFonts w:hint="eastAsia"/>
              </w:rPr>
            </w:pPr>
            <w:r>
              <w:rPr>
                <w:rFonts w:hint="eastAsia"/>
              </w:rPr>
              <w:t>发放日期</w:t>
            </w:r>
          </w:p>
        </w:tc>
        <w:tc>
          <w:tcPr>
            <w:tcW w:w="897" w:type="dxa"/>
            <w:noWrap w:val="0"/>
            <w:vAlign w:val="top"/>
          </w:tcPr>
          <w:p w14:paraId="7FCC8F3E">
            <w:r>
              <w:rPr>
                <w:rFonts w:hint="eastAsia"/>
              </w:rPr>
              <w:t>AAE166</w:t>
            </w:r>
          </w:p>
        </w:tc>
        <w:tc>
          <w:tcPr>
            <w:tcW w:w="813" w:type="dxa"/>
            <w:noWrap w:val="0"/>
            <w:vAlign w:val="top"/>
          </w:tcPr>
          <w:p w14:paraId="07417212">
            <w:r>
              <w:rPr>
                <w:rFonts w:hint="eastAsia"/>
              </w:rPr>
              <w:t>C</w:t>
            </w:r>
          </w:p>
        </w:tc>
        <w:tc>
          <w:tcPr>
            <w:tcW w:w="750" w:type="dxa"/>
            <w:noWrap w:val="0"/>
            <w:vAlign w:val="top"/>
          </w:tcPr>
          <w:p w14:paraId="1108BFF7">
            <w:r>
              <w:rPr>
                <w:rFonts w:hint="eastAsia"/>
              </w:rPr>
              <w:t>8</w:t>
            </w:r>
          </w:p>
        </w:tc>
        <w:tc>
          <w:tcPr>
            <w:tcW w:w="690" w:type="dxa"/>
            <w:noWrap w:val="0"/>
            <w:vAlign w:val="top"/>
          </w:tcPr>
          <w:p w14:paraId="3D5FE52E">
            <w:pPr>
              <w:rPr>
                <w:rFonts w:hint="eastAsia"/>
              </w:rPr>
            </w:pPr>
          </w:p>
        </w:tc>
        <w:tc>
          <w:tcPr>
            <w:tcW w:w="8700" w:type="dxa"/>
            <w:noWrap w:val="0"/>
            <w:vAlign w:val="top"/>
          </w:tcPr>
          <w:p w14:paraId="04D9BB77">
            <w:r>
              <w:rPr>
                <w:rFonts w:hint="eastAsia"/>
              </w:rPr>
              <w:t>指一次性扩岗补助发放的日期，表示方式为：YYYYMMDD</w:t>
            </w:r>
          </w:p>
        </w:tc>
      </w:tr>
      <w:tr w14:paraId="40EA47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35" w:type="dxa"/>
            <w:noWrap w:val="0"/>
            <w:vAlign w:val="top"/>
          </w:tcPr>
          <w:p w14:paraId="199B2D52">
            <w:r>
              <w:rPr>
                <w:rFonts w:hint="eastAsia"/>
              </w:rPr>
              <w:t>1-19</w:t>
            </w:r>
          </w:p>
        </w:tc>
        <w:tc>
          <w:tcPr>
            <w:tcW w:w="2133" w:type="dxa"/>
            <w:noWrap w:val="0"/>
            <w:vAlign w:val="top"/>
          </w:tcPr>
          <w:p w14:paraId="4D798F75">
            <w:pPr>
              <w:rPr>
                <w:rFonts w:hint="eastAsia"/>
              </w:rPr>
            </w:pPr>
            <w:r>
              <w:rPr>
                <w:rFonts w:hint="eastAsia"/>
              </w:rPr>
              <w:t>一次性扩岗补助金额</w:t>
            </w:r>
          </w:p>
        </w:tc>
        <w:tc>
          <w:tcPr>
            <w:tcW w:w="897" w:type="dxa"/>
            <w:noWrap w:val="0"/>
            <w:vAlign w:val="top"/>
          </w:tcPr>
          <w:p w14:paraId="70A91C65">
            <w:r>
              <w:rPr>
                <w:rFonts w:hint="eastAsia"/>
              </w:rPr>
              <w:t>AAE019</w:t>
            </w:r>
          </w:p>
        </w:tc>
        <w:tc>
          <w:tcPr>
            <w:tcW w:w="813" w:type="dxa"/>
            <w:noWrap w:val="0"/>
            <w:vAlign w:val="top"/>
          </w:tcPr>
          <w:p w14:paraId="2C2E4D4C">
            <w:r>
              <w:rPr>
                <w:rFonts w:hint="eastAsia"/>
              </w:rPr>
              <w:t>N</w:t>
            </w:r>
          </w:p>
        </w:tc>
        <w:tc>
          <w:tcPr>
            <w:tcW w:w="750" w:type="dxa"/>
            <w:noWrap w:val="0"/>
            <w:vAlign w:val="top"/>
          </w:tcPr>
          <w:p w14:paraId="086BBFE4">
            <w:r>
              <w:rPr>
                <w:rFonts w:hint="eastAsia"/>
              </w:rPr>
              <w:t>16.2</w:t>
            </w:r>
          </w:p>
        </w:tc>
        <w:tc>
          <w:tcPr>
            <w:tcW w:w="690" w:type="dxa"/>
            <w:noWrap w:val="0"/>
            <w:vAlign w:val="top"/>
          </w:tcPr>
          <w:p w14:paraId="13A3D0D5">
            <w:pPr>
              <w:rPr>
                <w:rFonts w:hint="eastAsia"/>
              </w:rPr>
            </w:pPr>
          </w:p>
        </w:tc>
        <w:tc>
          <w:tcPr>
            <w:tcW w:w="8700" w:type="dxa"/>
            <w:noWrap w:val="0"/>
            <w:vAlign w:val="top"/>
          </w:tcPr>
          <w:p w14:paraId="78B67179">
            <w:pPr>
              <w:rPr>
                <w:rFonts w:hint="eastAsia"/>
              </w:rPr>
            </w:pPr>
            <w:r>
              <w:rPr>
                <w:rFonts w:hint="eastAsia"/>
              </w:rPr>
              <w:t>指一次性扩岗补助余额发放金额</w:t>
            </w:r>
          </w:p>
        </w:tc>
      </w:tr>
    </w:tbl>
    <w:p w14:paraId="1B76B386">
      <w:pPr>
        <w:rPr>
          <w:rFonts w:hint="eastAsia"/>
        </w:rPr>
      </w:pPr>
      <w:r>
        <w:rPr>
          <w:rFonts w:hint="eastAsia"/>
        </w:rPr>
        <w:t>注：具体代码详见《人力资源社会保障部关于调整社会保险联网指标和加强数据上报工作的通知》（人社部函[2021]58号）。</w:t>
      </w:r>
    </w:p>
    <w:p w14:paraId="53971C81">
      <w:pPr>
        <w:adjustRightInd w:val="0"/>
        <w:snapToGrid w:val="0"/>
        <w:spacing w:line="592" w:lineRule="exact"/>
        <w:ind w:firstLine="560" w:firstLineChars="200"/>
        <w:rPr>
          <w:rFonts w:hint="eastAsia" w:ascii="仿宋" w:hAnsi="仿宋" w:eastAsia="仿宋" w:cs="仿宋"/>
          <w:sz w:val="28"/>
          <w:szCs w:val="28"/>
          <w:lang w:eastAsia="zh-CN"/>
        </w:rPr>
      </w:pPr>
    </w:p>
    <w:p w14:paraId="180BAA29">
      <w:bookmarkStart w:id="0" w:name="_GoBack"/>
      <w:bookmarkEnd w:id="0"/>
    </w:p>
    <w:sectPr>
      <w:pgSz w:w="16838" w:h="11906" w:orient="landscape"/>
      <w:pgMar w:top="1800" w:right="1553" w:bottom="1800" w:left="144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2EFF" w:usb1="C000247B" w:usb2="00000009" w:usb3="00000000" w:csb0="200001FF" w:csb1="00000000"/>
  </w:font>
  <w:font w:name="仿宋_GB2312">
    <w:altName w:val="仿宋"/>
    <w:panose1 w:val="02010609030101010101"/>
    <w:charset w:val="86"/>
    <w:family w:val="modern"/>
    <w:pitch w:val="default"/>
    <w:sig w:usb0="00000000" w:usb1="00000000" w:usb2="0000001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modern"/>
    <w:pitch w:val="default"/>
    <w:sig w:usb0="800002BF" w:usb1="38CF7CFA" w:usb2="00000016" w:usb3="00000000" w:csb0="00040001" w:csb1="00000000"/>
  </w:font>
  <w:font w:name="楷体_GB2312">
    <w:altName w:val="楷体"/>
    <w:panose1 w:val="02010609030101010101"/>
    <w:charset w:val="86"/>
    <w:family w:val="modern"/>
    <w:pitch w:val="default"/>
    <w:sig w:usb0="00000000" w:usb1="00000000" w:usb2="00000010" w:usb3="00000000" w:csb0="00040000" w:csb1="00000000"/>
  </w:font>
  <w:font w:name="华文中宋">
    <w:panose1 w:val="02010600040101010101"/>
    <w:charset w:val="86"/>
    <w:family w:val="auto"/>
    <w:pitch w:val="default"/>
    <w:sig w:usb0="00000287" w:usb1="080F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4A3AE3">
    <w:pPr>
      <w:pStyle w:val="4"/>
      <w:jc w:val="center"/>
    </w:pPr>
    <w:r>
      <w:fldChar w:fldCharType="begin"/>
    </w:r>
    <w:r>
      <w:instrText xml:space="preserve">PAGE   \* MERGEFORMAT</w:instrText>
    </w:r>
    <w:r>
      <w:fldChar w:fldCharType="separate"/>
    </w:r>
    <w:r>
      <w:rPr>
        <w:lang w:val="zh-CN"/>
      </w:rPr>
      <w:t>8</w:t>
    </w:r>
    <w:r>
      <w:fldChar w:fldCharType="end"/>
    </w:r>
  </w:p>
  <w:p w14:paraId="6EA36842">
    <w:pPr>
      <w:pStyle w:val="4"/>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0066B22"/>
    <w:multiLevelType w:val="singleLevel"/>
    <w:tmpl w:val="30066B22"/>
    <w:lvl w:ilvl="0" w:tentative="0">
      <w:start w:val="2"/>
      <w:numFmt w:val="chineseCounting"/>
      <w:suff w:val="nothing"/>
      <w:lvlText w:val="（%1）"/>
      <w:lvlJc w:val="left"/>
      <w:rPr>
        <w:rFonts w:hint="eastAsia"/>
      </w:rPr>
    </w:lvl>
  </w:abstractNum>
  <w:abstractNum w:abstractNumId="1">
    <w:nsid w:val="5AC522DF"/>
    <w:multiLevelType w:val="singleLevel"/>
    <w:tmpl w:val="5AC522DF"/>
    <w:lvl w:ilvl="0" w:tentative="0">
      <w:start w:val="1"/>
      <w:numFmt w:val="decimal"/>
      <w:suff w:val="nothing"/>
      <w:lvlText w:val="（%1）"/>
      <w:lvlJc w:val="left"/>
    </w:lvl>
  </w:abstractNum>
  <w:abstractNum w:abstractNumId="2">
    <w:nsid w:val="7E8284AA"/>
    <w:multiLevelType w:val="singleLevel"/>
    <w:tmpl w:val="7E8284AA"/>
    <w:lvl w:ilvl="0" w:tentative="0">
      <w:start w:val="1"/>
      <w:numFmt w:val="decimal"/>
      <w:suff w:val="nothing"/>
      <w:lvlText w:val="%1、"/>
      <w:lvlJc w:val="left"/>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00000"/>
    <w:rsid w:val="1A362392"/>
    <w:rsid w:val="21F127B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qFormat="1" w:unhideWhenUsed="0" w:uiPriority="99"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qFormat="1" w:uiPriority="99"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iPriority="99"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iPriority="99"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7">
    <w:name w:val="Default Paragraph Font"/>
    <w:semiHidden/>
    <w:uiPriority w:val="0"/>
  </w:style>
  <w:style w:type="table" w:default="1" w:styleId="6">
    <w:name w:val="Normal Table"/>
    <w:semiHidden/>
    <w:qFormat/>
    <w:uiPriority w:val="0"/>
    <w:tblPr>
      <w:tblCellMar>
        <w:top w:w="0" w:type="dxa"/>
        <w:left w:w="108" w:type="dxa"/>
        <w:bottom w:w="0" w:type="dxa"/>
        <w:right w:w="108" w:type="dxa"/>
      </w:tblCellMar>
    </w:tblPr>
  </w:style>
  <w:style w:type="paragraph" w:styleId="2">
    <w:name w:val="Body Text"/>
    <w:basedOn w:val="1"/>
    <w:next w:val="3"/>
    <w:unhideWhenUsed/>
    <w:qFormat/>
    <w:uiPriority w:val="99"/>
    <w:pPr>
      <w:spacing w:after="120"/>
    </w:pPr>
    <w:rPr>
      <w:rFonts w:ascii="Times New Roman" w:hAnsi="Times New Roman" w:eastAsia="宋体" w:cs="Times New Roman"/>
    </w:rPr>
  </w:style>
  <w:style w:type="paragraph" w:styleId="3">
    <w:name w:val="Date"/>
    <w:basedOn w:val="1"/>
    <w:next w:val="1"/>
    <w:unhideWhenUsed/>
    <w:qFormat/>
    <w:uiPriority w:val="99"/>
    <w:pPr>
      <w:ind w:left="100" w:leftChars="2500"/>
    </w:pPr>
    <w:rPr>
      <w:rFonts w:ascii="Times New Roman" w:hAnsi="Times New Roman" w:eastAsia="宋体" w:cs="Times New Roman"/>
    </w:rPr>
  </w:style>
  <w:style w:type="paragraph" w:styleId="4">
    <w:name w:val="footer"/>
    <w:basedOn w:val="1"/>
    <w:qFormat/>
    <w:uiPriority w:val="99"/>
    <w:pPr>
      <w:tabs>
        <w:tab w:val="center" w:pos="4153"/>
        <w:tab w:val="right" w:pos="8306"/>
      </w:tabs>
      <w:snapToGrid w:val="0"/>
      <w:jc w:val="left"/>
    </w:pPr>
    <w:rPr>
      <w:rFonts w:ascii="Calibri" w:hAnsi="Calibri" w:eastAsia="宋体"/>
      <w:sz w:val="18"/>
      <w:szCs w:val="18"/>
    </w:rPr>
  </w:style>
  <w:style w:type="paragraph" w:styleId="5">
    <w:name w:val="Normal (Web)"/>
    <w:basedOn w:val="1"/>
    <w:unhideWhenUsed/>
    <w:qFormat/>
    <w:uiPriority w:val="99"/>
    <w:pPr>
      <w:widowControl/>
      <w:spacing w:before="100" w:beforeAutospacing="1" w:after="100" w:afterAutospacing="1"/>
      <w:jc w:val="left"/>
    </w:pPr>
    <w:rPr>
      <w:rFonts w:ascii="宋体" w:hAnsi="宋体" w:eastAsia="宋体" w:cs="宋体"/>
      <w:kern w:val="0"/>
      <w:sz w:val="24"/>
      <w:szCs w:val="24"/>
    </w:r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image" Target="media/image19.png"/><Relationship Id="rId22" Type="http://schemas.openxmlformats.org/officeDocument/2006/relationships/image" Target="media/image18.png"/><Relationship Id="rId21" Type="http://schemas.openxmlformats.org/officeDocument/2006/relationships/image" Target="media/image17.pn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21</Pages>
  <Words>0</Words>
  <Characters>0</Characters>
  <Lines>0</Lines>
  <Paragraphs>0</Paragraphs>
  <TotalTime>0</TotalTime>
  <ScaleCrop>false</ScaleCrop>
  <LinksUpToDate>false</LinksUpToDate>
  <CharactersWithSpaces>0</CharactersWithSpaces>
  <Application>WPS Office_12.1.0.19302_F1E327BC-269C-435d-A152-05C5408002CA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2024-12-26T07:20:57Z</dcterms:created>
  <dc:creator>Administrator</dc:creator>
  <cp:lastModifiedBy>一只仙女酱</cp:lastModifiedBy>
  <dcterms:modified xsi:type="dcterms:W3CDTF">2024-12-26T07:32:42Z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2052-12.1.0.19302</vt:lpwstr>
  </property>
  <property fmtid="{D5CDD505-2E9C-101B-9397-08002B2CF9AE}" pid="3" name="ICV">
    <vt:lpwstr>F67DD70420E947F7A276C77FCBD19A7B_12</vt:lpwstr>
  </property>
</Properties>
</file>