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exact"/>
        <w:ind w:firstLine="1897"/>
        <w:jc w:val="center"/>
        <w:rPr>
          <w:rFonts w:ascii="华文中宋" w:hAnsi="华文中宋" w:eastAsia="华文中宋"/>
          <w:b/>
          <w:color w:val="000000"/>
          <w:spacing w:val="100"/>
          <w:w w:val="65"/>
          <w:sz w:val="115"/>
        </w:rPr>
      </w:pPr>
    </w:p>
    <w:p>
      <w:pPr>
        <w:spacing w:line="200" w:lineRule="exact"/>
        <w:ind w:firstLine="1897"/>
        <w:jc w:val="center"/>
        <w:rPr>
          <w:rFonts w:ascii="华文中宋" w:hAnsi="华文中宋" w:eastAsia="华文中宋"/>
          <w:b/>
          <w:color w:val="FF0000"/>
          <w:spacing w:val="100"/>
          <w:w w:val="65"/>
          <w:sz w:val="115"/>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val="en-US" w:eastAsia="zh-CN"/>
        </w:rPr>
        <w:t>济南市章丘区民政局长孙骅解读</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rPr>
        <w:t>关于建立</w:t>
      </w:r>
      <w:r>
        <w:rPr>
          <w:rFonts w:hint="eastAsia" w:ascii="方正小标宋简体" w:hAnsi="方正小标宋简体" w:eastAsia="方正小标宋简体" w:cs="方正小标宋简体"/>
          <w:b w:val="0"/>
          <w:bCs w:val="0"/>
          <w:sz w:val="44"/>
          <w:szCs w:val="44"/>
          <w:lang w:eastAsia="zh-CN"/>
        </w:rPr>
        <w:t>社会散居孤儿、事实无人抚养儿童、重点困境儿童</w:t>
      </w:r>
      <w:r>
        <w:rPr>
          <w:rFonts w:hint="eastAsia" w:ascii="方正小标宋简体" w:hAnsi="方正小标宋简体" w:eastAsia="方正小标宋简体" w:cs="方正小标宋简体"/>
          <w:b w:val="0"/>
          <w:bCs w:val="0"/>
          <w:sz w:val="44"/>
          <w:szCs w:val="44"/>
          <w:lang w:val="en-US" w:eastAsia="zh-CN"/>
        </w:rPr>
        <w:t>和受艾滋病影响儿童</w:t>
      </w:r>
      <w:r>
        <w:rPr>
          <w:rFonts w:hint="eastAsia" w:ascii="方正小标宋简体" w:hAnsi="方正小标宋简体" w:eastAsia="方正小标宋简体" w:cs="方正小标宋简体"/>
          <w:b w:val="0"/>
          <w:bCs w:val="0"/>
          <w:sz w:val="44"/>
          <w:szCs w:val="44"/>
        </w:rPr>
        <w:t>数据信息共享机制的</w:t>
      </w:r>
      <w:r>
        <w:rPr>
          <w:rFonts w:hint="eastAsia" w:ascii="方正小标宋简体" w:hAnsi="方正小标宋简体" w:eastAsia="方正小标宋简体" w:cs="方正小标宋简体"/>
          <w:b w:val="0"/>
          <w:bCs w:val="0"/>
          <w:sz w:val="44"/>
          <w:szCs w:val="44"/>
          <w:lang w:eastAsia="zh-CN"/>
        </w:rPr>
        <w:t>工作方案》</w:t>
      </w:r>
    </w:p>
    <w:p>
      <w:pPr>
        <w:keepNext w:val="0"/>
        <w:keepLines w:val="0"/>
        <w:pageBreakBefore w:val="0"/>
        <w:widowControl w:val="0"/>
        <w:kinsoku/>
        <w:wordWrap/>
        <w:overflowPunct/>
        <w:topLinePunct w:val="0"/>
        <w:bidi w:val="0"/>
        <w:adjustRightInd/>
        <w:snapToGrid/>
        <w:spacing w:line="500" w:lineRule="exact"/>
        <w:ind w:left="0" w:leftChars="0"/>
        <w:textAlignment w:val="auto"/>
        <w:rPr>
          <w:rFonts w:hint="eastAsia" w:ascii="宋体" w:hAnsi="宋体" w:eastAsia="宋体" w:cs="宋体"/>
          <w:sz w:val="30"/>
          <w:szCs w:val="30"/>
          <w:lang w:eastAsia="zh-CN"/>
        </w:rPr>
      </w:pPr>
      <w:bookmarkStart w:id="0" w:name="_GoBack"/>
      <w:bookmarkEnd w:id="0"/>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640" w:firstLineChars="200"/>
        <w:jc w:val="left"/>
        <w:textAlignment w:val="auto"/>
        <w:rPr>
          <w:rFonts w:hint="default" w:ascii="文星标宋" w:hAnsi="文星标宋" w:eastAsia="文星标宋" w:cs="文星标宋"/>
          <w:sz w:val="44"/>
          <w:szCs w:val="44"/>
          <w:lang w:val="en-US"/>
        </w:rPr>
      </w:pPr>
      <w:r>
        <w:rPr>
          <w:rFonts w:hint="eastAsia" w:ascii="仿宋_GB2312" w:hAnsi="仿宋_GB2312" w:eastAsia="仿宋_GB2312" w:cs="仿宋_GB2312"/>
          <w:sz w:val="32"/>
          <w:szCs w:val="32"/>
          <w:lang w:val="en-US" w:eastAsia="zh-CN"/>
        </w:rPr>
        <w:t>2022年11月</w:t>
      </w:r>
      <w:r>
        <w:rPr>
          <w:rFonts w:hint="eastAsia" w:cs="仿宋_GB2312"/>
          <w:sz w:val="32"/>
          <w:szCs w:val="32"/>
          <w:lang w:val="en-US" w:eastAsia="zh-CN"/>
        </w:rPr>
        <w:t>21</w:t>
      </w:r>
      <w:r>
        <w:rPr>
          <w:rFonts w:hint="eastAsia" w:ascii="仿宋_GB2312" w:hAnsi="仿宋_GB2312" w:eastAsia="仿宋_GB2312" w:cs="仿宋_GB2312"/>
          <w:sz w:val="32"/>
          <w:szCs w:val="32"/>
          <w:lang w:val="en-US" w:eastAsia="zh-CN"/>
        </w:rPr>
        <w:t>日</w:t>
      </w:r>
      <w:r>
        <w:rPr>
          <w:rFonts w:hint="eastAsia" w:cs="仿宋_GB2312"/>
          <w:sz w:val="32"/>
          <w:szCs w:val="32"/>
          <w:lang w:val="en-US" w:eastAsia="zh-CN"/>
        </w:rPr>
        <w:t>，我区印发了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关于建立</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数据信息共享机制的</w:t>
      </w:r>
      <w:r>
        <w:rPr>
          <w:rFonts w:hint="eastAsia" w:ascii="仿宋_GB2312" w:hAnsi="仿宋_GB2312" w:eastAsia="仿宋_GB2312" w:cs="仿宋_GB2312"/>
          <w:sz w:val="32"/>
          <w:szCs w:val="32"/>
          <w:lang w:eastAsia="zh-CN"/>
        </w:rPr>
        <w:t>工作方案》</w:t>
      </w:r>
      <w:r>
        <w:rPr>
          <w:rFonts w:hint="eastAsia" w:cs="仿宋_GB2312"/>
          <w:sz w:val="32"/>
          <w:szCs w:val="32"/>
          <w:lang w:eastAsia="zh-CN"/>
        </w:rPr>
        <w:t>，</w:t>
      </w:r>
      <w:r>
        <w:rPr>
          <w:rFonts w:hint="eastAsia" w:ascii="仿宋_GB2312" w:hAnsi="仿宋_GB2312" w:eastAsia="仿宋_GB2312" w:cs="仿宋_GB2312"/>
          <w:sz w:val="32"/>
          <w:szCs w:val="32"/>
          <w:lang w:val="en-US" w:eastAsia="zh-CN"/>
        </w:rPr>
        <w:t>济南市章丘区民政局局长孙骅</w:t>
      </w:r>
      <w:r>
        <w:rPr>
          <w:rFonts w:hint="eastAsia" w:ascii="仿宋_GB2312" w:hAnsi="仿宋_GB2312" w:eastAsia="仿宋_GB2312" w:cs="仿宋_GB2312"/>
          <w:sz w:val="32"/>
          <w:szCs w:val="32"/>
          <w:lang w:eastAsia="zh-CN"/>
        </w:rPr>
        <w:t>就有关问题进行解答</w:t>
      </w:r>
      <w:r>
        <w:rPr>
          <w:rFonts w:hint="eastAsia"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问题：出台这个工作方案的目标是什么？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cs="仿宋_GB2312"/>
          <w:sz w:val="32"/>
          <w:szCs w:val="32"/>
          <w:lang w:val="en-US" w:eastAsia="zh-CN"/>
        </w:rPr>
        <w:t>孙骅：</w:t>
      </w:r>
      <w:r>
        <w:rPr>
          <w:rFonts w:hint="eastAsia" w:ascii="仿宋_GB2312" w:hAnsi="仿宋_GB2312" w:eastAsia="仿宋_GB2312" w:cs="仿宋_GB2312"/>
          <w:sz w:val="32"/>
          <w:szCs w:val="32"/>
        </w:rPr>
        <w:t>以</w:t>
      </w:r>
      <w:r>
        <w:rPr>
          <w:rFonts w:hint="eastAsia" w:ascii="仿宋_GB2312" w:hAnsi="仿宋_GB2312" w:eastAsia="仿宋_GB2312" w:cs="仿宋_GB2312"/>
          <w:sz w:val="32"/>
          <w:szCs w:val="32"/>
          <w:lang w:val="en-US" w:eastAsia="zh-CN"/>
        </w:rPr>
        <w:t>提升</w:t>
      </w:r>
      <w:r>
        <w:rPr>
          <w:rFonts w:hint="eastAsia" w:ascii="仿宋_GB2312" w:hAnsi="仿宋_GB2312" w:eastAsia="仿宋_GB2312" w:cs="仿宋_GB2312"/>
          <w:sz w:val="32"/>
          <w:szCs w:val="32"/>
        </w:rPr>
        <w:t>服务保障</w:t>
      </w:r>
      <w:r>
        <w:rPr>
          <w:rFonts w:hint="eastAsia" w:ascii="仿宋_GB2312" w:hAnsi="仿宋_GB2312" w:eastAsia="仿宋_GB2312" w:cs="仿宋_GB2312"/>
          <w:sz w:val="32"/>
          <w:szCs w:val="32"/>
          <w:lang w:val="en-US" w:eastAsia="zh-CN"/>
        </w:rPr>
        <w:t>质量、</w:t>
      </w:r>
      <w:r>
        <w:rPr>
          <w:rFonts w:hint="eastAsia" w:ascii="仿宋_GB2312" w:hAnsi="仿宋_GB2312" w:eastAsia="仿宋_GB2312" w:cs="仿宋_GB2312"/>
          <w:sz w:val="32"/>
          <w:szCs w:val="32"/>
        </w:rPr>
        <w:t>依法保护儿童合法权益为目标，按照“依法、全面、客观、及时、高效”的工作要求,优化制度设计,</w:t>
      </w:r>
      <w:r>
        <w:rPr>
          <w:rFonts w:hint="eastAsia" w:ascii="仿宋_GB2312" w:hAnsi="仿宋_GB2312" w:eastAsia="仿宋_GB2312" w:cs="仿宋_GB2312"/>
          <w:sz w:val="32"/>
          <w:szCs w:val="32"/>
          <w:lang w:val="en-US" w:eastAsia="zh-CN"/>
        </w:rPr>
        <w:t>加强信息共享，推动</w:t>
      </w:r>
      <w:r>
        <w:rPr>
          <w:rFonts w:hint="eastAsia" w:ascii="仿宋_GB2312" w:hAnsi="仿宋_GB2312" w:eastAsia="仿宋_GB2312" w:cs="仿宋_GB2312"/>
          <w:sz w:val="32"/>
          <w:szCs w:val="32"/>
        </w:rPr>
        <w:t>建立“部门配合、信息共享、制度保障”的长效工作机制，</w:t>
      </w:r>
      <w:r>
        <w:rPr>
          <w:rFonts w:hint="eastAsia" w:ascii="仿宋_GB2312" w:hAnsi="仿宋_GB2312" w:eastAsia="仿宋_GB2312" w:cs="仿宋_GB2312"/>
          <w:sz w:val="32"/>
          <w:szCs w:val="32"/>
          <w:lang w:val="en-US" w:eastAsia="zh-CN"/>
        </w:rPr>
        <w:t>确保</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val="en-US" w:eastAsia="zh-CN"/>
        </w:rPr>
        <w:t>信息共享</w:t>
      </w:r>
      <w:r>
        <w:rPr>
          <w:rFonts w:hint="eastAsia" w:ascii="仿宋_GB2312" w:hAnsi="仿宋_GB2312" w:eastAsia="仿宋_GB2312" w:cs="仿宋_GB2312"/>
          <w:sz w:val="32"/>
          <w:szCs w:val="32"/>
        </w:rPr>
        <w:t>的真实性、准确性、完整性和及时性，着力打造政策有效衔接、措施精准有力的</w:t>
      </w:r>
      <w:r>
        <w:rPr>
          <w:rFonts w:hint="eastAsia" w:ascii="仿宋_GB2312" w:hAnsi="仿宋_GB2312" w:eastAsia="仿宋_GB2312" w:cs="仿宋_GB2312"/>
          <w:sz w:val="32"/>
          <w:szCs w:val="32"/>
          <w:lang w:eastAsia="zh-CN"/>
        </w:rPr>
        <w:t>社会散居孤儿、事实无人抚养儿童</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重点困境儿童</w:t>
      </w:r>
      <w:r>
        <w:rPr>
          <w:rFonts w:hint="default" w:ascii="仿宋_GB2312" w:hAnsi="仿宋_GB2312" w:eastAsia="仿宋_GB2312" w:cs="仿宋_GB2312"/>
          <w:sz w:val="32"/>
          <w:szCs w:val="32"/>
          <w:lang w:eastAsia="zh-CN"/>
        </w:rPr>
        <w:t>和受艾滋病影响儿童</w:t>
      </w:r>
      <w:r>
        <w:rPr>
          <w:rFonts w:hint="eastAsia" w:ascii="仿宋_GB2312" w:hAnsi="仿宋_GB2312" w:eastAsia="仿宋_GB2312" w:cs="仿宋_GB2312"/>
          <w:sz w:val="32"/>
          <w:szCs w:val="32"/>
        </w:rPr>
        <w:t>服务保障体系。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问题：这个工作方案都包括哪些部门的</w:t>
      </w:r>
      <w:r>
        <w:rPr>
          <w:rFonts w:hint="eastAsia" w:ascii="黑体" w:hAnsi="黑体" w:eastAsia="黑体" w:cs="黑体"/>
          <w:sz w:val="32"/>
          <w:szCs w:val="32"/>
        </w:rPr>
        <w:t>职责分工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孙骅：区民政局主要</w:t>
      </w:r>
      <w:r>
        <w:rPr>
          <w:rFonts w:hint="eastAsia" w:ascii="仿宋_GB2312" w:hAnsi="仿宋_GB2312" w:eastAsia="仿宋_GB2312" w:cs="仿宋_GB2312"/>
          <w:sz w:val="32"/>
          <w:szCs w:val="32"/>
        </w:rPr>
        <w:t>做好</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资格确认、生活补贴发放、综合协调和监督管理等工作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建立定期数据比对工作机制，运用民政业务低保、特困、两残、</w:t>
      </w:r>
      <w:r>
        <w:rPr>
          <w:rFonts w:hint="eastAsia" w:ascii="仿宋_GB2312" w:hAnsi="仿宋_GB2312" w:eastAsia="仿宋_GB2312" w:cs="仿宋_GB2312"/>
          <w:color w:val="000000" w:themeColor="text1"/>
          <w:sz w:val="32"/>
          <w:szCs w:val="32"/>
          <w14:textFill>
            <w14:solidFill>
              <w14:schemeClr w14:val="tx1"/>
            </w14:solidFill>
          </w14:textFill>
        </w:rPr>
        <w:t>殡葬、婚姻登记</w:t>
      </w:r>
      <w:r>
        <w:rPr>
          <w:rFonts w:hint="eastAsia" w:ascii="仿宋_GB2312" w:hAnsi="仿宋_GB2312" w:eastAsia="仿宋_GB2312" w:cs="仿宋_GB2312"/>
          <w:sz w:val="32"/>
          <w:szCs w:val="32"/>
        </w:rPr>
        <w:t>等数据以及</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rPr>
        <w:t>市直相关部门推送关于孤儿和事实无人抚养儿童的相关信息进行定期核实；联系相关部门对</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相关信息进行定期核实，对部门共享信息中符合条件的建立台账，及时准确纳入保障范围，确保儿童基本信息准确、基本生活保障到位。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人民法院:</w:t>
      </w:r>
      <w:r>
        <w:rPr>
          <w:rFonts w:hint="eastAsia" w:ascii="仿宋_GB2312" w:hAnsi="仿宋_GB2312" w:eastAsia="仿宋_GB2312" w:cs="仿宋_GB2312"/>
          <w:sz w:val="32"/>
          <w:szCs w:val="32"/>
        </w:rPr>
        <w:t>对申请宣告儿童父母失踪、死亡及撤销父母监护资格等案件设立绿色通道;</w:t>
      </w:r>
      <w:r>
        <w:rPr>
          <w:rFonts w:hint="eastAsia" w:ascii="仿宋_GB2312" w:hAnsi="仿宋_GB2312" w:eastAsia="仿宋_GB2312" w:cs="仿宋_GB2312"/>
          <w:color w:val="auto"/>
          <w:sz w:val="32"/>
          <w:szCs w:val="32"/>
        </w:rPr>
        <w:t>并于每个月5日前，</w:t>
      </w:r>
      <w:r>
        <w:rPr>
          <w:rFonts w:hint="eastAsia" w:ascii="仿宋_GB2312" w:hAnsi="仿宋_GB2312" w:eastAsia="仿宋_GB2312" w:cs="仿宋_GB2312"/>
          <w:color w:val="auto"/>
          <w:sz w:val="32"/>
          <w:szCs w:val="32"/>
          <w:lang w:val="en-US" w:eastAsia="zh-CN"/>
        </w:rPr>
        <w:t>为民政局</w:t>
      </w:r>
      <w:r>
        <w:rPr>
          <w:rFonts w:hint="default" w:ascii="仿宋_GB2312" w:hAnsi="仿宋_GB2312" w:eastAsia="仿宋_GB2312" w:cs="仿宋_GB2312"/>
          <w:color w:val="auto"/>
          <w:sz w:val="32"/>
          <w:szCs w:val="32"/>
        </w:rPr>
        <w:t>提供</w:t>
      </w:r>
      <w:r>
        <w:rPr>
          <w:rFonts w:hint="eastAsia" w:ascii="仿宋_GB2312" w:hAnsi="仿宋_GB2312" w:eastAsia="仿宋_GB2312" w:cs="仿宋_GB2312"/>
          <w:color w:val="auto"/>
          <w:sz w:val="32"/>
          <w:szCs w:val="32"/>
        </w:rPr>
        <w:t>上月儿童父母失踪、死亡及撤销父母监护资格名单。</w:t>
      </w:r>
      <w:r>
        <w:rPr>
          <w:rFonts w:hint="default" w:ascii="仿宋_GB2312" w:hAnsi="仿宋_GB2312" w:eastAsia="仿宋_GB2312" w:cs="仿宋_GB2312"/>
          <w:sz w:val="32"/>
          <w:szCs w:val="32"/>
        </w:rPr>
        <w:t>协调民政局</w:t>
      </w:r>
      <w:r>
        <w:rPr>
          <w:rFonts w:hint="eastAsia" w:ascii="仿宋_GB2312" w:hAnsi="仿宋_GB2312" w:eastAsia="仿宋_GB2312" w:cs="仿宋_GB2312"/>
          <w:sz w:val="32"/>
          <w:szCs w:val="32"/>
        </w:rPr>
        <w:t>核实上述情形法律文书真实性和准确性。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区人民</w:t>
      </w:r>
      <w:r>
        <w:rPr>
          <w:rFonts w:hint="eastAsia" w:ascii="楷体_GB2312" w:hAnsi="楷体_GB2312" w:eastAsia="楷体_GB2312" w:cs="楷体_GB2312"/>
          <w:sz w:val="32"/>
          <w:szCs w:val="32"/>
        </w:rPr>
        <w:t>检察院:</w:t>
      </w:r>
      <w:r>
        <w:rPr>
          <w:rFonts w:hint="eastAsia" w:ascii="仿宋_GB2312" w:hAnsi="仿宋_GB2312" w:eastAsia="仿宋_GB2312" w:cs="仿宋_GB2312"/>
          <w:sz w:val="32"/>
          <w:szCs w:val="32"/>
        </w:rPr>
        <w:t>在办理刑事案件时，发现涉案人员子女可能属于</w:t>
      </w:r>
      <w:r>
        <w:rPr>
          <w:rFonts w:hint="default" w:ascii="仿宋_GB2312" w:hAnsi="仿宋_GB2312" w:eastAsia="仿宋_GB2312" w:cs="仿宋_GB2312"/>
          <w:sz w:val="32"/>
          <w:szCs w:val="32"/>
        </w:rPr>
        <w:t>社会散居</w:t>
      </w:r>
      <w:r>
        <w:rPr>
          <w:rFonts w:hint="eastAsia" w:ascii="仿宋_GB2312" w:hAnsi="仿宋_GB2312" w:eastAsia="仿宋_GB2312" w:cs="仿宋_GB2312"/>
          <w:sz w:val="32"/>
          <w:szCs w:val="32"/>
        </w:rPr>
        <w:t>孤儿</w:t>
      </w:r>
      <w:r>
        <w:rPr>
          <w:rFonts w:hint="default" w:ascii="仿宋_GB2312" w:hAnsi="仿宋_GB2312" w:eastAsia="仿宋_GB2312" w:cs="仿宋_GB2312"/>
          <w:sz w:val="32"/>
          <w:szCs w:val="32"/>
        </w:rPr>
        <w:t>或</w:t>
      </w:r>
      <w:r>
        <w:rPr>
          <w:rFonts w:hint="eastAsia" w:ascii="仿宋_GB2312" w:hAnsi="仿宋_GB2312" w:eastAsia="仿宋_GB2312" w:cs="仿宋_GB2312"/>
          <w:sz w:val="32"/>
          <w:szCs w:val="32"/>
        </w:rPr>
        <w:t>事实无人抚养儿童情形的，第一时间向民政</w:t>
      </w:r>
      <w:r>
        <w:rPr>
          <w:rFonts w:hint="eastAsia" w:cs="仿宋_GB2312"/>
          <w:sz w:val="32"/>
          <w:szCs w:val="32"/>
          <w:lang w:val="en-US" w:eastAsia="zh-CN"/>
        </w:rPr>
        <w:t>局</w:t>
      </w:r>
      <w:r>
        <w:rPr>
          <w:rFonts w:hint="eastAsia" w:ascii="仿宋_GB2312" w:hAnsi="仿宋_GB2312" w:eastAsia="仿宋_GB2312" w:cs="仿宋_GB2312"/>
          <w:sz w:val="32"/>
          <w:szCs w:val="32"/>
        </w:rPr>
        <w:t>通报相关信息，并于每个月5日前，</w:t>
      </w:r>
      <w:r>
        <w:rPr>
          <w:rFonts w:hint="eastAsia" w:ascii="仿宋_GB2312" w:hAnsi="仿宋_GB2312" w:eastAsia="仿宋_GB2312" w:cs="仿宋_GB2312"/>
          <w:sz w:val="32"/>
          <w:szCs w:val="32"/>
          <w:lang w:val="en-US" w:eastAsia="zh-CN"/>
        </w:rPr>
        <w:t>为</w:t>
      </w:r>
      <w:r>
        <w:rPr>
          <w:rFonts w:hint="default" w:ascii="仿宋_GB2312" w:hAnsi="仿宋_GB2312" w:eastAsia="仿宋_GB2312" w:cs="仿宋_GB2312"/>
          <w:sz w:val="32"/>
          <w:szCs w:val="32"/>
        </w:rPr>
        <w:t>民政局提供</w:t>
      </w:r>
      <w:r>
        <w:rPr>
          <w:rFonts w:hint="eastAsia" w:ascii="仿宋_GB2312" w:hAnsi="仿宋_GB2312" w:eastAsia="仿宋_GB2312" w:cs="仿宋_GB2312"/>
          <w:sz w:val="32"/>
          <w:szCs w:val="32"/>
        </w:rPr>
        <w:t>上月涉案人员子女疑似孤儿或事实无人抚养儿童情形的信息。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区公安</w:t>
      </w:r>
      <w:r>
        <w:rPr>
          <w:rFonts w:hint="eastAsia" w:ascii="楷体_GB2312" w:hAnsi="楷体_GB2312" w:eastAsia="楷体_GB2312" w:cs="楷体_GB2312"/>
          <w:sz w:val="32"/>
          <w:szCs w:val="32"/>
          <w:lang w:val="en-US" w:eastAsia="zh-CN"/>
        </w:rPr>
        <w:t>分局</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在办理解救被拐卖儿童、查找弃婴生父母和其他监护人、查询未成年人失联父母等工作时,发现可能属于孤儿或事实无人抚养儿童的，第一时间推送信息至民政</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。将父母均受强制隔离戒毒或被执行其他限制人身自由措施或被遣送（驱逐）出境等的儿童名单推送</w:t>
      </w:r>
      <w:r>
        <w:rPr>
          <w:rFonts w:hint="eastAsia" w:ascii="仿宋_GB2312" w:hAnsi="仿宋_GB2312" w:eastAsia="仿宋_GB2312" w:cs="仿宋_GB2312"/>
          <w:sz w:val="32"/>
          <w:szCs w:val="32"/>
          <w:lang w:val="en-US" w:eastAsia="zh-CN"/>
        </w:rPr>
        <w:t>至民政局</w:t>
      </w:r>
      <w:r>
        <w:rPr>
          <w:rFonts w:hint="eastAsia" w:ascii="仿宋_GB2312" w:hAnsi="仿宋_GB2312" w:eastAsia="仿宋_GB2312" w:cs="仿宋_GB2312"/>
          <w:sz w:val="32"/>
          <w:szCs w:val="32"/>
        </w:rPr>
        <w:t>。配合出具弃婴捡拾证明、事实无人抚养儿童父（母）失联证明和孤儿、事实无人抚养儿童注销户籍情况，及时反馈信息。协助民政</w:t>
      </w:r>
      <w:r>
        <w:rPr>
          <w:rFonts w:hint="eastAsia" w:ascii="仿宋_GB2312" w:hAnsi="仿宋_GB2312" w:eastAsia="仿宋_GB2312" w:cs="仿宋_GB2312"/>
          <w:sz w:val="32"/>
          <w:szCs w:val="32"/>
          <w:lang w:val="en-US" w:eastAsia="zh-CN"/>
        </w:rPr>
        <w:t>定期</w:t>
      </w:r>
      <w:r>
        <w:rPr>
          <w:rFonts w:hint="eastAsia" w:ascii="仿宋_GB2312" w:hAnsi="仿宋_GB2312" w:eastAsia="仿宋_GB2312" w:cs="仿宋_GB2312"/>
          <w:sz w:val="32"/>
          <w:szCs w:val="32"/>
        </w:rPr>
        <w:t>核查事实无人抚养儿童父（母）失联情况、强制隔离戒毒情况及执行其他限制人身自由措施情况。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财政</w:t>
      </w:r>
      <w:r>
        <w:rPr>
          <w:rFonts w:hint="eastAsia" w:ascii="楷体_GB2312" w:hAnsi="楷体_GB2312" w:eastAsia="楷体_GB2312" w:cs="楷体_GB2312"/>
          <w:sz w:val="32"/>
          <w:szCs w:val="32"/>
          <w:lang w:val="en-US" w:eastAsia="zh-CN"/>
        </w:rPr>
        <w:t>局</w:t>
      </w:r>
      <w:r>
        <w:rPr>
          <w:rFonts w:hint="eastAsia" w:ascii="楷体_GB2312" w:hAnsi="楷体_GB2312" w:eastAsia="楷体_GB2312" w:cs="楷体_GB2312"/>
          <w:sz w:val="32"/>
          <w:szCs w:val="32"/>
        </w:rPr>
        <w:t>:</w:t>
      </w:r>
      <w:r>
        <w:rPr>
          <w:rFonts w:hint="eastAsia" w:ascii="仿宋_GB2312" w:hAnsi="仿宋_GB2312" w:eastAsia="仿宋_GB2312" w:cs="仿宋_GB2312"/>
          <w:bCs/>
          <w:kern w:val="2"/>
          <w:sz w:val="32"/>
          <w:szCs w:val="32"/>
        </w:rPr>
        <w:t>优化和调整支出结构</w:t>
      </w:r>
      <w:r>
        <w:rPr>
          <w:rFonts w:hint="eastAsia" w:ascii="仿宋_GB2312" w:hAnsi="仿宋_GB2312" w:eastAsia="仿宋_GB2312" w:cs="仿宋_GB2312"/>
          <w:sz w:val="32"/>
          <w:szCs w:val="32"/>
        </w:rPr>
        <w:t>，确保</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基本生活费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儿童福利和</w:t>
      </w:r>
      <w:r>
        <w:rPr>
          <w:rFonts w:hint="default" w:ascii="仿宋_GB2312" w:hAnsi="仿宋_GB2312" w:eastAsia="仿宋_GB2312" w:cs="仿宋_GB2312"/>
          <w:sz w:val="32"/>
          <w:szCs w:val="32"/>
        </w:rPr>
        <w:t>未成年人保护工作</w:t>
      </w:r>
      <w:r>
        <w:rPr>
          <w:rFonts w:hint="eastAsia" w:ascii="仿宋_GB2312" w:hAnsi="仿宋_GB2312" w:eastAsia="仿宋_GB2312" w:cs="仿宋_GB2312"/>
          <w:sz w:val="32"/>
          <w:szCs w:val="32"/>
          <w:lang w:val="en-US" w:eastAsia="zh-CN"/>
        </w:rPr>
        <w:t>资金</w:t>
      </w:r>
      <w:r>
        <w:rPr>
          <w:rFonts w:hint="eastAsia" w:ascii="仿宋_GB2312" w:hAnsi="仿宋_GB2312" w:eastAsia="仿宋_GB2312" w:cs="仿宋_GB2312"/>
          <w:sz w:val="32"/>
          <w:szCs w:val="32"/>
        </w:rPr>
        <w:t>保障</w:t>
      </w:r>
      <w:r>
        <w:rPr>
          <w:rFonts w:hint="eastAsia" w:ascii="仿宋_GB2312" w:hAnsi="仿宋_GB2312" w:eastAsia="仿宋_GB2312" w:cs="仿宋_GB2312"/>
          <w:sz w:val="32"/>
          <w:szCs w:val="32"/>
          <w:lang w:val="en-US" w:eastAsia="zh-CN"/>
        </w:rPr>
        <w:t>纳入本级政府预算</w:t>
      </w:r>
      <w:r>
        <w:rPr>
          <w:rFonts w:hint="eastAsia" w:ascii="仿宋_GB2312" w:hAnsi="仿宋_GB2312" w:eastAsia="仿宋_GB2312" w:cs="仿宋_GB2312"/>
          <w:sz w:val="32"/>
          <w:szCs w:val="32"/>
        </w:rPr>
        <w:t>。加强资金使用监管，提高财政资金绩效，对存在违法违规行为的，按照相关规定进行处理。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卫</w:t>
      </w:r>
      <w:r>
        <w:rPr>
          <w:rFonts w:hint="eastAsia" w:ascii="楷体_GB2312" w:hAnsi="楷体_GB2312" w:eastAsia="楷体_GB2312" w:cs="楷体_GB2312"/>
          <w:sz w:val="32"/>
          <w:szCs w:val="32"/>
          <w:lang w:val="en-US" w:eastAsia="zh-CN"/>
        </w:rPr>
        <w:t>健局</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一是配合民政</w:t>
      </w:r>
      <w:r>
        <w:rPr>
          <w:rFonts w:hint="eastAsia" w:cs="仿宋_GB2312"/>
          <w:sz w:val="32"/>
          <w:szCs w:val="32"/>
          <w:lang w:val="en-US" w:eastAsia="zh-CN"/>
        </w:rPr>
        <w:t>局</w:t>
      </w:r>
      <w:r>
        <w:rPr>
          <w:rFonts w:hint="eastAsia" w:ascii="仿宋_GB2312" w:hAnsi="仿宋_GB2312" w:eastAsia="仿宋_GB2312" w:cs="仿宋_GB2312"/>
          <w:sz w:val="32"/>
          <w:szCs w:val="32"/>
        </w:rPr>
        <w:t>对在册孤儿及事实无人抚养儿童中正常死亡儿童的基本信息进行核实反馈。二是协助民政</w:t>
      </w:r>
      <w:r>
        <w:rPr>
          <w:rFonts w:hint="eastAsia" w:cs="仿宋_GB2312"/>
          <w:sz w:val="32"/>
          <w:szCs w:val="32"/>
          <w:lang w:val="en-US" w:eastAsia="zh-CN"/>
        </w:rPr>
        <w:t>局</w:t>
      </w:r>
      <w:r>
        <w:rPr>
          <w:rFonts w:hint="eastAsia" w:ascii="仿宋_GB2312" w:hAnsi="仿宋_GB2312" w:eastAsia="仿宋_GB2312" w:cs="仿宋_GB2312"/>
          <w:sz w:val="32"/>
          <w:szCs w:val="32"/>
        </w:rPr>
        <w:t>征求不满18周岁艾滋病病毒感染儿童监护人是否纳入保障意愿。</w:t>
      </w:r>
      <w:r>
        <w:rPr>
          <w:rFonts w:hint="eastAsia" w:ascii="仿宋_GB2312" w:hAnsi="仿宋_GB2312" w:eastAsia="仿宋_GB2312" w:cs="仿宋_GB2312"/>
          <w:sz w:val="32"/>
          <w:szCs w:val="32"/>
          <w:lang w:val="en-US" w:eastAsia="zh-CN"/>
        </w:rPr>
        <w:t>三是对艾滋病病毒感染儿童宣传民政救助政策，确保自愿申请保障的儿童100%纳入保障范围，将自愿纳入名单及时反馈民政局。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区医保局</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val="en-US" w:eastAsia="zh-CN"/>
        </w:rPr>
        <w:t>每年</w:t>
      </w:r>
      <w:r>
        <w:rPr>
          <w:rFonts w:hint="eastAsia" w:cs="仿宋_GB2312"/>
          <w:sz w:val="32"/>
          <w:szCs w:val="32"/>
          <w:lang w:eastAsia="zh-CN"/>
        </w:rPr>
        <w:t>集中缴费期内</w:t>
      </w:r>
      <w:r>
        <w:rPr>
          <w:rFonts w:hint="eastAsia" w:ascii="仿宋_GB2312" w:hAnsi="仿宋_GB2312" w:eastAsia="仿宋_GB2312" w:cs="仿宋_GB2312"/>
          <w:sz w:val="32"/>
          <w:szCs w:val="32"/>
        </w:rPr>
        <w:t>将</w:t>
      </w:r>
      <w:r>
        <w:rPr>
          <w:rFonts w:hint="eastAsia" w:ascii="仿宋_GB2312" w:hAnsi="仿宋_GB2312" w:eastAsia="仿宋_GB2312" w:cs="仿宋_GB2312"/>
          <w:sz w:val="32"/>
          <w:szCs w:val="32"/>
          <w:lang w:eastAsia="zh-CN"/>
        </w:rPr>
        <w:t>社会散居孤儿、事实无人抚养儿童</w:t>
      </w:r>
      <w:r>
        <w:rPr>
          <w:rFonts w:hint="eastAsia" w:ascii="仿宋_GB2312" w:hAnsi="仿宋_GB2312" w:eastAsia="仿宋_GB2312" w:cs="仿宋_GB2312"/>
          <w:sz w:val="32"/>
          <w:szCs w:val="32"/>
        </w:rPr>
        <w:t>纳入城乡居民基本医疗保险、大病保险保障范围。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区残联</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每月5日前，将上月重残(一级、二级的各类别残疾人</w:t>
      </w:r>
      <w:r>
        <w:rPr>
          <w:rFonts w:hint="eastAsia" w:cs="仿宋_GB2312"/>
          <w:sz w:val="32"/>
          <w:szCs w:val="32"/>
          <w:lang w:eastAsia="zh-CN"/>
        </w:rPr>
        <w:t>和</w:t>
      </w:r>
      <w:r>
        <w:rPr>
          <w:rFonts w:hint="eastAsia" w:ascii="仿宋_GB2312" w:hAnsi="仿宋_GB2312" w:eastAsia="仿宋_GB2312" w:cs="仿宋_GB2312"/>
          <w:sz w:val="32"/>
          <w:szCs w:val="32"/>
        </w:rPr>
        <w:t>残疾程度为三级、四级的精神、智力残疾人)人员基本信息推送</w:t>
      </w:r>
      <w:r>
        <w:rPr>
          <w:rFonts w:hint="eastAsia" w:ascii="仿宋_GB2312" w:hAnsi="仿宋_GB2312" w:eastAsia="仿宋_GB2312" w:cs="仿宋_GB2312"/>
          <w:sz w:val="32"/>
          <w:szCs w:val="32"/>
          <w:lang w:val="en-US" w:eastAsia="zh-CN"/>
        </w:rPr>
        <w:t>民政</w:t>
      </w:r>
      <w:r>
        <w:rPr>
          <w:rFonts w:hint="eastAsia" w:cs="仿宋_GB2312"/>
          <w:sz w:val="32"/>
          <w:szCs w:val="32"/>
          <w:lang w:val="en-US" w:eastAsia="zh-CN"/>
        </w:rPr>
        <w:t>局</w:t>
      </w:r>
      <w:r>
        <w:rPr>
          <w:rFonts w:hint="eastAsia" w:ascii="仿宋_GB2312" w:hAnsi="仿宋_GB2312" w:eastAsia="仿宋_GB2312" w:cs="仿宋_GB2312"/>
          <w:sz w:val="32"/>
          <w:szCs w:val="32"/>
        </w:rPr>
        <w:t>，协同开展信息共享、交叉比对等方面工作，确保符合保障条件的事实无人抚养儿童</w:t>
      </w:r>
      <w:r>
        <w:rPr>
          <w:rFonts w:hint="eastAsia" w:ascii="仿宋_GB2312" w:hAnsi="仿宋_GB2312" w:eastAsia="仿宋_GB2312" w:cs="仿宋_GB2312"/>
          <w:sz w:val="32"/>
          <w:szCs w:val="32"/>
          <w:lang w:val="en-US" w:eastAsia="zh-CN"/>
        </w:rPr>
        <w:t>和重点困境儿童</w:t>
      </w:r>
      <w:r>
        <w:rPr>
          <w:rFonts w:hint="eastAsia" w:ascii="仿宋_GB2312" w:hAnsi="仿宋_GB2312" w:eastAsia="仿宋_GB2312" w:cs="仿宋_GB2312"/>
          <w:sz w:val="32"/>
          <w:szCs w:val="32"/>
        </w:rPr>
        <w:t>及时纳入保障范围。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问题：如何确保这些工作顺利完成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孙骅：一要</w:t>
      </w:r>
      <w:r>
        <w:rPr>
          <w:rFonts w:hint="eastAsia" w:ascii="楷体_GB2312" w:hAnsi="楷体_GB2312" w:eastAsia="楷体_GB2312" w:cs="楷体_GB2312"/>
          <w:sz w:val="32"/>
          <w:szCs w:val="32"/>
        </w:rPr>
        <w:t>提高认识，加强领导。</w:t>
      </w:r>
      <w:r>
        <w:rPr>
          <w:rFonts w:hint="eastAsia" w:ascii="仿宋_GB2312" w:hAnsi="仿宋_GB2312" w:eastAsia="仿宋_GB2312" w:cs="仿宋_GB2312"/>
          <w:sz w:val="32"/>
          <w:szCs w:val="32"/>
        </w:rPr>
        <w:t>各部门要把</w:t>
      </w:r>
      <w:r>
        <w:rPr>
          <w:rFonts w:hint="eastAsia" w:ascii="仿宋_GB2312" w:hAnsi="仿宋_GB2312" w:eastAsia="仿宋_GB2312" w:cs="仿宋_GB2312"/>
          <w:sz w:val="32"/>
          <w:szCs w:val="32"/>
          <w:lang w:val="en-US" w:eastAsia="zh-CN"/>
        </w:rPr>
        <w:t>落实</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保障工作作为保障和改善民生的重要任务来抓，</w:t>
      </w:r>
      <w:r>
        <w:rPr>
          <w:rFonts w:hint="eastAsia" w:ascii="仿宋_GB2312" w:hAnsi="仿宋_GB2312" w:eastAsia="仿宋_GB2312" w:cs="仿宋_GB2312"/>
          <w:sz w:val="32"/>
          <w:szCs w:val="32"/>
          <w:lang w:val="en-US" w:eastAsia="zh-CN"/>
        </w:rPr>
        <w:t>加强组织领导，落实重点任务</w:t>
      </w:r>
      <w:r>
        <w:rPr>
          <w:rFonts w:hint="eastAsia" w:ascii="仿宋_GB2312" w:hAnsi="仿宋_GB2312" w:eastAsia="仿宋_GB2312" w:cs="仿宋_GB2312"/>
          <w:sz w:val="32"/>
          <w:szCs w:val="32"/>
        </w:rPr>
        <w:t>，确保</w:t>
      </w:r>
      <w:r>
        <w:rPr>
          <w:rFonts w:hint="eastAsia" w:ascii="仿宋_GB2312" w:hAnsi="仿宋_GB2312" w:eastAsia="仿宋_GB2312" w:cs="仿宋_GB2312"/>
          <w:sz w:val="32"/>
          <w:szCs w:val="32"/>
          <w:lang w:val="en-US" w:eastAsia="zh-CN"/>
        </w:rPr>
        <w:t>各项</w:t>
      </w:r>
      <w:r>
        <w:rPr>
          <w:rFonts w:hint="eastAsia" w:ascii="仿宋_GB2312" w:hAnsi="仿宋_GB2312" w:eastAsia="仿宋_GB2312" w:cs="仿宋_GB2312"/>
          <w:sz w:val="32"/>
          <w:szCs w:val="32"/>
        </w:rPr>
        <w:t>工作扎实有序开展。</w:t>
      </w:r>
      <w:r>
        <w:rPr>
          <w:rFonts w:hint="eastAsia" w:cs="仿宋_GB2312"/>
          <w:sz w:val="32"/>
          <w:szCs w:val="32"/>
          <w:lang w:val="en-US" w:eastAsia="zh-CN"/>
        </w:rPr>
        <w:t>二要</w:t>
      </w:r>
      <w:r>
        <w:rPr>
          <w:rFonts w:hint="eastAsia" w:ascii="楷体_GB2312" w:hAnsi="楷体_GB2312" w:eastAsia="楷体_GB2312" w:cs="楷体_GB2312"/>
          <w:sz w:val="32"/>
          <w:szCs w:val="32"/>
        </w:rPr>
        <w:t>明确责任，严肃纪律。</w:t>
      </w:r>
      <w:r>
        <w:rPr>
          <w:rFonts w:hint="eastAsia" w:ascii="仿宋_GB2312" w:hAnsi="仿宋_GB2312" w:eastAsia="仿宋_GB2312" w:cs="仿宋_GB2312"/>
          <w:sz w:val="32"/>
          <w:szCs w:val="32"/>
        </w:rPr>
        <w:t>各部门要认真履行自身职能职责，发挥好部门协同作用，积极配合工作调度，按照“横向到边、纵向到底、全面覆盖、不留死角”的要求，及时做好数据传递，建立起</w:t>
      </w:r>
      <w:r>
        <w:rPr>
          <w:rFonts w:hint="eastAsia" w:ascii="仿宋_GB2312" w:hAnsi="仿宋_GB2312" w:eastAsia="仿宋_GB2312" w:cs="仿宋_GB2312"/>
          <w:sz w:val="32"/>
          <w:szCs w:val="32"/>
          <w:lang w:eastAsia="zh-CN"/>
        </w:rPr>
        <w:t>社会散居孤儿、事实无人抚养儿童和重点困境儿童</w:t>
      </w:r>
      <w:r>
        <w:rPr>
          <w:rFonts w:hint="eastAsia" w:ascii="仿宋_GB2312" w:hAnsi="仿宋_GB2312" w:eastAsia="仿宋_GB2312" w:cs="仿宋_GB2312"/>
          <w:sz w:val="32"/>
          <w:szCs w:val="32"/>
        </w:rPr>
        <w:t>数据信息共享协同推进机制，保障儿童群体合法权益。</w:t>
      </w:r>
      <w:r>
        <w:rPr>
          <w:rFonts w:hint="eastAsia" w:cs="仿宋_GB2312"/>
          <w:sz w:val="32"/>
          <w:szCs w:val="32"/>
          <w:lang w:val="en-US" w:eastAsia="zh-CN"/>
        </w:rPr>
        <w:t>三要</w:t>
      </w:r>
      <w:r>
        <w:rPr>
          <w:rFonts w:hint="eastAsia" w:ascii="楷体_GB2312" w:hAnsi="楷体_GB2312" w:eastAsia="楷体_GB2312" w:cs="楷体_GB2312"/>
          <w:sz w:val="32"/>
          <w:szCs w:val="32"/>
        </w:rPr>
        <w:t>加大宣传，营造氛围。</w:t>
      </w:r>
      <w:r>
        <w:rPr>
          <w:rFonts w:hint="eastAsia" w:ascii="仿宋_GB2312" w:hAnsi="仿宋_GB2312" w:eastAsia="仿宋_GB2312" w:cs="仿宋_GB2312"/>
          <w:sz w:val="32"/>
          <w:szCs w:val="32"/>
        </w:rPr>
        <w:t>充分利用报纸、电台、电视、网络等新闻媒体,大力开展儿童福利保障政策宣传,使社会各界广泛了解党和政府的爱民之心、惠民之举，帮助</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及其监护人准确知晓保障对象范围、补助标准和申请程序。动员引导社会力量关心、支持</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帮扶救助工作，为儿童及其家庭提供多样化、个性化服务。</w:t>
      </w:r>
    </w:p>
    <w:p>
      <w:pPr>
        <w:pStyle w:val="2"/>
        <w:rPr>
          <w:rFonts w:hint="eastAsia" w:ascii="仿宋_GB2312" w:hAnsi="仿宋_GB2312" w:eastAsia="仿宋_GB2312" w:cs="仿宋_GB2312"/>
          <w:sz w:val="32"/>
          <w:szCs w:val="32"/>
        </w:rPr>
      </w:pPr>
    </w:p>
    <w:p>
      <w:pPr>
        <w:pStyle w:val="2"/>
        <w:ind w:left="0" w:leftChars="0" w:firstLine="0" w:firstLineChars="0"/>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联系人：区民政局养老和儿童福利科  王慧  0531-81295705</w:t>
      </w:r>
    </w:p>
    <w:p>
      <w:pPr>
        <w:pStyle w:val="2"/>
        <w:rPr>
          <w:rFonts w:hint="eastAsia"/>
        </w:rPr>
      </w:pPr>
    </w:p>
    <w:p>
      <w:pPr>
        <w:pStyle w:val="5"/>
        <w:keepNext w:val="0"/>
        <w:keepLines w:val="0"/>
        <w:pageBreakBefore w:val="0"/>
        <w:widowControl w:val="0"/>
        <w:kinsoku/>
        <w:wordWrap/>
        <w:overflowPunct/>
        <w:topLinePunct w:val="0"/>
        <w:bidi w:val="0"/>
        <w:adjustRightInd/>
        <w:snapToGrid/>
        <w:spacing w:line="600" w:lineRule="exact"/>
        <w:ind w:left="0" w:leftChars="0" w:firstLine="0" w:firstLineChars="0"/>
        <w:jc w:val="both"/>
        <w:textAlignment w:val="auto"/>
        <w:rPr>
          <w:rFonts w:hint="eastAsia" w:ascii="仿宋" w:hAnsi="仿宋" w:eastAsia="仿宋" w:cs="仿宋"/>
          <w:sz w:val="30"/>
          <w:szCs w:val="30"/>
          <w:lang w:val="en-US" w:eastAsia="zh-CN"/>
        </w:rPr>
      </w:pPr>
    </w:p>
    <w:p>
      <w:pPr>
        <w:pStyle w:val="5"/>
        <w:keepNext w:val="0"/>
        <w:keepLines w:val="0"/>
        <w:pageBreakBefore w:val="0"/>
        <w:widowControl w:val="0"/>
        <w:kinsoku/>
        <w:wordWrap/>
        <w:overflowPunct/>
        <w:topLinePunct w:val="0"/>
        <w:bidi w:val="0"/>
        <w:adjustRightInd/>
        <w:snapToGrid/>
        <w:spacing w:line="600" w:lineRule="exact"/>
        <w:ind w:left="0" w:leftChars="0" w:firstLine="0" w:firstLineChars="0"/>
        <w:jc w:val="both"/>
        <w:textAlignment w:val="auto"/>
        <w:rPr>
          <w:rFonts w:hint="eastAsia" w:ascii="仿宋" w:hAnsi="仿宋" w:eastAsia="仿宋" w:cs="仿宋"/>
          <w:sz w:val="30"/>
          <w:szCs w:val="30"/>
          <w:lang w:val="en-US" w:eastAsia="zh-CN"/>
        </w:rPr>
      </w:pPr>
    </w:p>
    <w:p>
      <w:pPr>
        <w:pStyle w:val="5"/>
        <w:keepNext w:val="0"/>
        <w:keepLines w:val="0"/>
        <w:pageBreakBefore w:val="0"/>
        <w:widowControl w:val="0"/>
        <w:kinsoku/>
        <w:wordWrap/>
        <w:overflowPunct/>
        <w:topLinePunct w:val="0"/>
        <w:bidi w:val="0"/>
        <w:adjustRightInd/>
        <w:snapToGrid/>
        <w:spacing w:line="600" w:lineRule="exact"/>
        <w:ind w:left="0" w:leftChars="0" w:firstLine="0" w:firstLineChars="0"/>
        <w:jc w:val="both"/>
        <w:textAlignment w:val="auto"/>
        <w:rPr>
          <w:rFonts w:hint="eastAsia" w:ascii="仿宋" w:hAnsi="仿宋" w:eastAsia="仿宋" w:cs="仿宋"/>
          <w:sz w:val="30"/>
          <w:szCs w:val="30"/>
          <w:lang w:val="en-US" w:eastAsia="zh-CN"/>
        </w:rPr>
      </w:pPr>
    </w:p>
    <w:p>
      <w:pPr>
        <w:spacing w:line="600" w:lineRule="exact"/>
        <w:rPr>
          <w:rFonts w:hint="eastAsia" w:ascii="仿宋" w:hAnsi="仿宋" w:eastAsia="仿宋" w:cs="仿宋"/>
          <w:sz w:val="30"/>
          <w:szCs w:val="30"/>
          <w:lang w:val="en-US" w:eastAsia="zh-CN"/>
        </w:rPr>
      </w:pPr>
      <w:r>
        <w:rPr>
          <w:color w:val="FFFFFF"/>
          <w:sz w:val="32"/>
        </w:rPr>
        <mc:AlternateContent>
          <mc:Choice Requires="wps">
            <w:drawing>
              <wp:anchor distT="0" distB="0" distL="114300" distR="114300" simplePos="0" relativeHeight="251661312" behindDoc="0" locked="0" layoutInCell="1" allowOverlap="1">
                <wp:simplePos x="0" y="0"/>
                <wp:positionH relativeFrom="column">
                  <wp:posOffset>-294005</wp:posOffset>
                </wp:positionH>
                <wp:positionV relativeFrom="paragraph">
                  <wp:posOffset>7985760</wp:posOffset>
                </wp:positionV>
                <wp:extent cx="962025" cy="523875"/>
                <wp:effectExtent l="4445" t="4445" r="5080" b="5080"/>
                <wp:wrapNone/>
                <wp:docPr id="5" name="文本框 5"/>
                <wp:cNvGraphicFramePr/>
                <a:graphic xmlns:a="http://schemas.openxmlformats.org/drawingml/2006/main">
                  <a:graphicData uri="http://schemas.microsoft.com/office/word/2010/wordprocessingShape">
                    <wps:wsp>
                      <wps:cNvSpPr txBox="1"/>
                      <wps:spPr>
                        <a:xfrm>
                          <a:off x="0" y="0"/>
                          <a:ext cx="962025" cy="5238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23.15pt;margin-top:628.8pt;height:41.25pt;width:75.75pt;z-index:251661312;mso-width-relative:page;mso-height-relative:page;" fillcolor="#FFFFFF" filled="t" stroked="t" coordsize="21600,21600" o:gfxdata="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WJEx2gAAAA0BAAAPAAAAAAAAAAEAIAAA&#10;ACIAAABkcnMvZG93bnJldi54bWxQSwECFAAUAAAACACHTuJADKAuugoCAABDBAAADgAAAAAAAAAB&#10;ACAAAAApAQAAZHJzL2Uyb0RvYy54bWxQSwUGAAAAAAYABgBZAQAApQUAAAAA&#10;">
                <v:fill on="t" focussize="0,0"/>
                <v:stroke color="#FFFFFF" joinstyle="miter"/>
                <v:imagedata o:title=""/>
                <o:lock v:ext="edit" aspectratio="f"/>
                <v:textbox>
                  <w:txbxContent>
                    <w:p/>
                  </w:txbxContent>
                </v:textbox>
              </v:shape>
            </w:pict>
          </mc:Fallback>
        </mc:AlternateContent>
      </w:r>
    </w:p>
    <w:sectPr>
      <w:footerReference r:id="rId5" w:type="default"/>
      <w:footerReference r:id="rId6" w:type="even"/>
      <w:pgSz w:w="11906" w:h="16838"/>
      <w:pgMar w:top="1134" w:right="1474" w:bottom="1440" w:left="1474"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B8630E5-71DA-4903-8322-82C181F78EDE}"/>
  </w:font>
  <w:font w:name="Arial">
    <w:panose1 w:val="020B0604020202020204"/>
    <w:charset w:val="01"/>
    <w:family w:val="swiss"/>
    <w:pitch w:val="default"/>
    <w:sig w:usb0="E0002EFF" w:usb1="C000785B" w:usb2="00000009" w:usb3="00000000" w:csb0="400001FF" w:csb1="FFFF0000"/>
    <w:embedRegular r:id="rId2" w:fontKey="{1FFF700C-579D-41E5-86BC-4F0C4640EE64}"/>
  </w:font>
  <w:font w:name="黑体">
    <w:panose1 w:val="02010609060101010101"/>
    <w:charset w:val="86"/>
    <w:family w:val="auto"/>
    <w:pitch w:val="default"/>
    <w:sig w:usb0="800002BF" w:usb1="38CF7CFA" w:usb2="00000016" w:usb3="00000000" w:csb0="00040001" w:csb1="00000000"/>
    <w:embedRegular r:id="rId3" w:fontKey="{D45F2145-990F-4CBC-9A02-950927A4C710}"/>
  </w:font>
  <w:font w:name="Courier New">
    <w:panose1 w:val="02070309020205020404"/>
    <w:charset w:val="01"/>
    <w:family w:val="modern"/>
    <w:pitch w:val="default"/>
    <w:sig w:usb0="E0002EFF" w:usb1="C0007843" w:usb2="00000009" w:usb3="00000000" w:csb0="400001FF" w:csb1="FFFF0000"/>
    <w:embedRegular r:id="rId4" w:fontKey="{7C028123-87B0-4DBE-A3CF-74FCC7AEBE96}"/>
  </w:font>
  <w:font w:name="Symbol">
    <w:panose1 w:val="05050102010706020507"/>
    <w:charset w:val="02"/>
    <w:family w:val="roman"/>
    <w:pitch w:val="default"/>
    <w:sig w:usb0="00000000" w:usb1="00000000" w:usb2="00000000" w:usb3="00000000" w:csb0="80000000" w:csb1="00000000"/>
    <w:embedRegular r:id="rId5" w:fontKey="{63A6DB4B-EDD6-4CA6-97ED-8F46F43B4839}"/>
  </w:font>
  <w:font w:name="Calibri">
    <w:panose1 w:val="020F0502020204030204"/>
    <w:charset w:val="00"/>
    <w:family w:val="swiss"/>
    <w:pitch w:val="default"/>
    <w:sig w:usb0="E4002EFF" w:usb1="C000247B" w:usb2="00000009" w:usb3="00000000" w:csb0="200001FF" w:csb1="00000000"/>
    <w:embedRegular r:id="rId6" w:fontKey="{993682DA-0DFA-4B8F-9E00-83AB94EE37B4}"/>
  </w:font>
  <w:font w:name="仿宋_GB2312">
    <w:panose1 w:val="02010609030101010101"/>
    <w:charset w:val="86"/>
    <w:family w:val="modern"/>
    <w:pitch w:val="default"/>
    <w:sig w:usb0="00000001" w:usb1="080E0000" w:usb2="00000000" w:usb3="00000000" w:csb0="00040000" w:csb1="00000000"/>
    <w:embedRegular r:id="rId7" w:fontKey="{1A9CBE5F-0BB5-4B96-A469-D0DFFA2D7BE3}"/>
  </w:font>
  <w:font w:name="华文中宋">
    <w:panose1 w:val="02010600040101010101"/>
    <w:charset w:val="86"/>
    <w:family w:val="auto"/>
    <w:pitch w:val="default"/>
    <w:sig w:usb0="00000287" w:usb1="080F0000" w:usb2="00000000" w:usb3="00000000" w:csb0="0004009F" w:csb1="DFD70000"/>
    <w:embedRegular r:id="rId8" w:fontKey="{FB092668-9B6A-4F70-88BB-387F6921FBFF}"/>
  </w:font>
  <w:font w:name="方正小标宋简体">
    <w:panose1 w:val="03000509000000000000"/>
    <w:charset w:val="86"/>
    <w:family w:val="auto"/>
    <w:pitch w:val="default"/>
    <w:sig w:usb0="00000001" w:usb1="080E0000" w:usb2="00000000" w:usb3="00000000" w:csb0="00040000" w:csb1="00000000"/>
    <w:embedRegular r:id="rId9" w:fontKey="{B9974687-2541-4F7C-8DFC-9766B78A1300}"/>
  </w:font>
  <w:font w:name="文星标宋">
    <w:panose1 w:val="02010604000101010101"/>
    <w:charset w:val="86"/>
    <w:family w:val="auto"/>
    <w:pitch w:val="default"/>
    <w:sig w:usb0="00000001" w:usb1="080E0000" w:usb2="00000000" w:usb3="00000000" w:csb0="00040000" w:csb1="00000000"/>
    <w:embedRegular r:id="rId10" w:fontKey="{D220BB93-ACE5-4A06-A48E-E571E91A1F31}"/>
  </w:font>
  <w:font w:name="楷体_GB2312">
    <w:panose1 w:val="02010609030101010101"/>
    <w:charset w:val="86"/>
    <w:family w:val="auto"/>
    <w:pitch w:val="default"/>
    <w:sig w:usb0="00000001" w:usb1="080E0000" w:usb2="00000000" w:usb3="00000000" w:csb0="00040000" w:csb1="00000000"/>
    <w:embedRegular r:id="rId11" w:fontKey="{08AD80F6-1F2B-4AE8-95B1-34035B02E73C}"/>
  </w:font>
  <w:font w:name="仿宋">
    <w:panose1 w:val="02010609060101010101"/>
    <w:charset w:val="86"/>
    <w:family w:val="auto"/>
    <w:pitch w:val="default"/>
    <w:sig w:usb0="800002BF" w:usb1="38CF7CFA" w:usb2="00000016" w:usb3="00000000" w:csb0="00040001" w:csb1="00000000"/>
    <w:embedRegular r:id="rId12" w:fontKey="{962E3E55-E1FE-4771-AC25-ADFE8FF416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- 1 -</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- 1 -</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58"/>
  <w:drawingGridVerticalSpacing w:val="298"/>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yODMyYTU4ZjJhMGU2YTBjYjkyZWExMzVhNGM3ZDYifQ=="/>
  </w:docVars>
  <w:rsids>
    <w:rsidRoot w:val="59B12640"/>
    <w:rsid w:val="03941933"/>
    <w:rsid w:val="03CB1F51"/>
    <w:rsid w:val="0A075AAB"/>
    <w:rsid w:val="16F822DF"/>
    <w:rsid w:val="177764D7"/>
    <w:rsid w:val="1B836D49"/>
    <w:rsid w:val="1E5D0644"/>
    <w:rsid w:val="1F9D656B"/>
    <w:rsid w:val="21091507"/>
    <w:rsid w:val="24575262"/>
    <w:rsid w:val="37484CB0"/>
    <w:rsid w:val="3A833A15"/>
    <w:rsid w:val="3D3B696F"/>
    <w:rsid w:val="3DE310EF"/>
    <w:rsid w:val="415B3DCF"/>
    <w:rsid w:val="42400307"/>
    <w:rsid w:val="4285455F"/>
    <w:rsid w:val="47C44BBE"/>
    <w:rsid w:val="48522F36"/>
    <w:rsid w:val="48634D0A"/>
    <w:rsid w:val="4B0873A1"/>
    <w:rsid w:val="4E251ABD"/>
    <w:rsid w:val="4EA74993"/>
    <w:rsid w:val="556E3292"/>
    <w:rsid w:val="58785C5C"/>
    <w:rsid w:val="59B12640"/>
    <w:rsid w:val="5AA0484E"/>
    <w:rsid w:val="5F335DCF"/>
    <w:rsid w:val="5F8D5FC3"/>
    <w:rsid w:val="5F9C17C5"/>
    <w:rsid w:val="5FEC5FF5"/>
    <w:rsid w:val="61923785"/>
    <w:rsid w:val="653E132E"/>
    <w:rsid w:val="65B36BA0"/>
    <w:rsid w:val="6CEB7CE9"/>
    <w:rsid w:val="6D653C0E"/>
    <w:rsid w:val="6E776F5D"/>
    <w:rsid w:val="74230DF7"/>
    <w:rsid w:val="74B542D0"/>
    <w:rsid w:val="74CE23CA"/>
    <w:rsid w:val="7A443923"/>
    <w:rsid w:val="7D9A3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3">
    <w:name w:val="heading 1"/>
    <w:basedOn w:val="1"/>
    <w:next w:val="1"/>
    <w:qFormat/>
    <w:uiPriority w:val="0"/>
    <w:pPr>
      <w:autoSpaceDE w:val="0"/>
      <w:autoSpaceDN w:val="0"/>
      <w:spacing w:before="102"/>
      <w:ind w:left="77" w:right="354"/>
      <w:jc w:val="center"/>
      <w:outlineLvl w:val="0"/>
    </w:pPr>
    <w:rPr>
      <w:rFonts w:ascii="宋体" w:hAnsi="宋体" w:cs="宋体"/>
      <w:kern w:val="0"/>
      <w:sz w:val="44"/>
      <w:szCs w:val="44"/>
      <w:lang w:val="zh-CN"/>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标书正文1"/>
    <w:basedOn w:val="1"/>
    <w:qFormat/>
    <w:uiPriority w:val="99"/>
    <w:pPr>
      <w:tabs>
        <w:tab w:val="left" w:pos="5730"/>
        <w:tab w:val="left" w:pos="8280"/>
      </w:tabs>
      <w:adjustRightInd w:val="0"/>
      <w:snapToGrid w:val="0"/>
      <w:spacing w:line="360" w:lineRule="auto"/>
      <w:ind w:firstLine="480" w:firstLineChars="200"/>
    </w:pPr>
    <w:rPr>
      <w:rFonts w:ascii="宋体" w:hAnsi="宋体"/>
      <w:kern w:val="28"/>
      <w:sz w:val="24"/>
    </w:rPr>
  </w:style>
  <w:style w:type="paragraph" w:styleId="4">
    <w:name w:val="Body Text"/>
    <w:basedOn w:val="1"/>
    <w:qFormat/>
    <w:uiPriority w:val="1"/>
    <w:rPr>
      <w:rFonts w:ascii="仿宋_GB2312" w:hAnsi="仿宋_GB2312" w:eastAsia="仿宋_GB2312" w:cs="仿宋_GB2312"/>
      <w:sz w:val="32"/>
      <w:szCs w:val="32"/>
      <w:lang w:val="zh-CN" w:eastAsia="zh-CN" w:bidi="zh-CN"/>
    </w:rPr>
  </w:style>
  <w:style w:type="paragraph" w:styleId="5">
    <w:name w:val="Body Text Indent 2"/>
    <w:basedOn w:val="1"/>
    <w:qFormat/>
    <w:uiPriority w:val="0"/>
    <w:pPr>
      <w:spacing w:line="540" w:lineRule="exact"/>
      <w:ind w:firstLine="850" w:firstLineChars="250"/>
    </w:pPr>
    <w:rPr>
      <w:rFonts w:ascii="仿宋_GB2312" w:eastAsia="仿宋_GB2312"/>
      <w:spacing w:val="20"/>
      <w:sz w:val="30"/>
      <w:szCs w:val="3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1922</Words>
  <Characters>1943</Characters>
  <Lines>0</Lines>
  <Paragraphs>0</Paragraphs>
  <TotalTime>78</TotalTime>
  <ScaleCrop>false</ScaleCrop>
  <LinksUpToDate>false</LinksUpToDate>
  <CharactersWithSpaces>1947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2022-06-07T06:10:00Z</dcterms:created>
  <dc:creator>Jeneparspas</dc:creator>
  <cp:lastModifiedBy>WPS_1639529024</cp:lastModifiedBy>
  <cp:lastPrinted>2022-11-28T07:39:00Z</cp:lastPrinted>
  <dcterms:modified xsi:type="dcterms:W3CDTF">2023-06-12T06:59:16Z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730067957_embed</vt:lpwstr>
  </property>
  <property fmtid="{D5CDD505-2E9C-101B-9397-08002B2CF9AE}" pid="4" name="ICV">
    <vt:lpwstr>B9685E2758224C72B7DA4BE6EE806453_13</vt:lpwstr>
  </property>
</Properties>
</file>