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1-1: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关于202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Times New Roman" w:eastAsia="方正小标宋简体"/>
          <w:sz w:val="44"/>
          <w:szCs w:val="44"/>
        </w:rPr>
        <w:t>年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济南市对章丘区</w:t>
      </w:r>
      <w:r>
        <w:rPr>
          <w:rFonts w:hint="eastAsia" w:ascii="方正小标宋简体" w:hAnsi="Times New Roman" w:eastAsia="方正小标宋简体"/>
          <w:sz w:val="44"/>
          <w:szCs w:val="44"/>
        </w:rPr>
        <w:t>一般公共预算安排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税收返还及</w:t>
      </w:r>
      <w:r>
        <w:rPr>
          <w:rFonts w:hint="eastAsia" w:ascii="方正小标宋简体" w:hAnsi="Times New Roman" w:eastAsia="方正小标宋简体"/>
          <w:sz w:val="44"/>
          <w:szCs w:val="44"/>
        </w:rPr>
        <w:t>转移支付情况的说明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年济南市对章丘区税收返还和转移支付预算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62500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万元，</w:t>
      </w:r>
      <w:bookmarkStart w:id="8" w:name="_GoBack"/>
      <w:bookmarkEnd w:id="8"/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一、税收返还</w:t>
      </w:r>
    </w:p>
    <w:p>
      <w:pPr>
        <w:kinsoku w:val="0"/>
        <w:overflowPunct w:val="0"/>
        <w:autoSpaceDE w:val="0"/>
        <w:autoSpaceDN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22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对下</w:t>
      </w:r>
      <w:r>
        <w:rPr>
          <w:rFonts w:hint="eastAsia" w:ascii="Times New Roman" w:hAnsi="Times New Roman" w:eastAsia="仿宋_GB2312"/>
          <w:sz w:val="32"/>
          <w:szCs w:val="32"/>
        </w:rPr>
        <w:t>税收返还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预算安排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26562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/>
          <w:sz w:val="32"/>
          <w:szCs w:val="32"/>
        </w:rPr>
        <w:t>，包括</w:t>
      </w:r>
      <w:r>
        <w:rPr>
          <w:rFonts w:ascii="Times New Roman" w:hAnsi="Times New Roman" w:eastAsia="仿宋_GB2312"/>
          <w:sz w:val="32"/>
          <w:szCs w:val="32"/>
        </w:rPr>
        <w:t>：所得税基数返还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9938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成品油税费改革税收返还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1872万元，</w:t>
      </w:r>
      <w:r>
        <w:rPr>
          <w:rFonts w:ascii="Times New Roman" w:hAnsi="Times New Roman" w:eastAsia="仿宋_GB2312"/>
          <w:sz w:val="32"/>
          <w:szCs w:val="32"/>
        </w:rPr>
        <w:t>增值税税收返还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18176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增值税“五五分享”税收返还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-5870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其他税收返还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2446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二、一般性转移支付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年对下级一般性转移支付预算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35938万元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，其中：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产粮油大县奖励资金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1961万元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，主要用于保障粮食生产。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固定数额补助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预算3500万元，主要用于农村税费改革和调整工资。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企事业单位划转补助收入1423万元，主要用于划转企事业单位运转及人员经费。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欠发达地区转移支付收入60万元，主要用于巩固脱贫衔接乡村振兴。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共同财政事权转移支付27225万元，主要用于公共安全、教育、社会保障、医疗卫生、农林水、住房保障等方面的支出。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其他一般性转移支付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预算1753万元，主要用于农村综合改革、退役安置补助、少数民族补贴、高校毕业生“三支一扶”计划补助、军休干部医疗补助、公共体育场馆向社会免费或低收费开放补助等方面支出。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三、专项转移支付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年对下级专项转移支付预算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299万元。其中用于重大传染病防控262万元、土地指标跨省域调剂收入安排支出（厕所革命）37万元。</w:t>
      </w:r>
    </w:p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1-2: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关于202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Times New Roman" w:eastAsia="方正小标宋简体"/>
          <w:sz w:val="44"/>
          <w:szCs w:val="44"/>
        </w:rPr>
        <w:t>年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区对下</w:t>
      </w:r>
      <w:r>
        <w:rPr>
          <w:rFonts w:hint="eastAsia" w:ascii="方正小标宋简体" w:hAnsi="Times New Roman" w:eastAsia="方正小标宋简体"/>
          <w:sz w:val="44"/>
          <w:szCs w:val="44"/>
        </w:rPr>
        <w:t>一般公共预算安排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税收返还及</w:t>
      </w:r>
      <w:r>
        <w:rPr>
          <w:rFonts w:hint="eastAsia" w:ascii="方正小标宋简体" w:hAnsi="Times New Roman" w:eastAsia="方正小标宋简体"/>
          <w:sz w:val="44"/>
          <w:szCs w:val="44"/>
        </w:rPr>
        <w:t>转移支付情况的说明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年区对垛庄镇税收返还和转移支付预算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1800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一、税收返还</w:t>
      </w:r>
    </w:p>
    <w:p>
      <w:pPr>
        <w:kinsoku w:val="0"/>
        <w:overflowPunct w:val="0"/>
        <w:autoSpaceDE w:val="0"/>
        <w:autoSpaceDN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22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区对垛庄镇未安排</w:t>
      </w:r>
      <w:r>
        <w:rPr>
          <w:rFonts w:hint="eastAsia" w:ascii="Times New Roman" w:hAnsi="Times New Roman" w:eastAsia="仿宋_GB2312"/>
          <w:sz w:val="32"/>
          <w:szCs w:val="32"/>
        </w:rPr>
        <w:t>税收返还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二、一般性转移支付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年区对垛庄镇一般性转移支付预算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1183万元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，其中：其他一般性转移支付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1183万元，主要用于垛庄镇人员经费和机关运转。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三、专项转移支付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年区对垛庄镇专项转移支付预算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617万元。其中用于占地补偿40万元、弃渣清运67万元、机关综合运转项目150万元、长期聘用及劳务派遣人员劳务费115万元、小城镇基础设施建设项目245万元。</w:t>
      </w:r>
    </w:p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1-3：</w:t>
      </w:r>
    </w:p>
    <w:p>
      <w:pPr>
        <w:spacing w:line="600" w:lineRule="exact"/>
        <w:jc w:val="left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关于</w:t>
      </w:r>
      <w:r>
        <w:rPr>
          <w:rFonts w:hint="eastAsia" w:ascii="方正小标宋简体" w:hAnsi="Times New Roman" w:eastAsia="方正小标宋简体"/>
          <w:sz w:val="44"/>
          <w:szCs w:val="44"/>
        </w:rPr>
        <w:t>2022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济南市</w:t>
      </w:r>
      <w:r>
        <w:rPr>
          <w:rFonts w:ascii="Times New Roman" w:hAnsi="Times New Roman" w:eastAsia="方正小标宋简体"/>
          <w:sz w:val="44"/>
          <w:szCs w:val="44"/>
        </w:rPr>
        <w:t>对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章丘区</w:t>
      </w:r>
      <w:r>
        <w:rPr>
          <w:rFonts w:ascii="Times New Roman" w:hAnsi="Times New Roman" w:eastAsia="方正小标宋简体"/>
          <w:sz w:val="44"/>
          <w:szCs w:val="44"/>
        </w:rPr>
        <w:t>政府性基金预算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转移支付预算情况的说明</w:t>
      </w:r>
    </w:p>
    <w:p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2022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济南市</w:t>
      </w:r>
      <w:r>
        <w:rPr>
          <w:rFonts w:ascii="Times New Roman" w:hAnsi="Times New Roman" w:eastAsia="仿宋_GB2312"/>
          <w:sz w:val="32"/>
          <w:szCs w:val="32"/>
        </w:rPr>
        <w:t>安排对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章丘区</w:t>
      </w:r>
      <w:r>
        <w:rPr>
          <w:rFonts w:ascii="Times New Roman" w:hAnsi="Times New Roman" w:eastAsia="仿宋_GB2312"/>
          <w:sz w:val="32"/>
          <w:szCs w:val="32"/>
        </w:rPr>
        <w:t>政府性基金预算转移支付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2293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万元，其中用于工业强市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990万元，国家重大水利工程建设基金[三峡工程后续工作]131万元，大中型水库移民后期扶持基金1038万元，公共体育事业发展12万元，彩票公益金支持城乡医疗救助、残疾人事业发展、社会福利事业支出92万元、优抚对象医疗补助29万元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预估济南市对章丘区</w:t>
      </w:r>
      <w:r>
        <w:rPr>
          <w:rFonts w:ascii="Times New Roman" w:hAnsi="Times New Roman" w:eastAsia="仿宋_GB2312"/>
          <w:sz w:val="32"/>
          <w:szCs w:val="32"/>
        </w:rPr>
        <w:t>政府性基金预算转移支付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428705万元，用于债务还本付息及重点项目建设。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br w:type="page"/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1-4：</w:t>
      </w:r>
    </w:p>
    <w:p>
      <w:pPr>
        <w:spacing w:line="600" w:lineRule="exact"/>
        <w:jc w:val="left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关于</w:t>
      </w:r>
      <w:r>
        <w:rPr>
          <w:rFonts w:hint="eastAsia" w:ascii="方正小标宋简体" w:hAnsi="Times New Roman" w:eastAsia="方正小标宋简体"/>
          <w:sz w:val="44"/>
          <w:szCs w:val="44"/>
        </w:rPr>
        <w:t>2022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区</w:t>
      </w:r>
      <w:r>
        <w:rPr>
          <w:rFonts w:ascii="Times New Roman" w:hAnsi="Times New Roman" w:eastAsia="方正小标宋简体"/>
          <w:sz w:val="44"/>
          <w:szCs w:val="44"/>
        </w:rPr>
        <w:t>对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下</w:t>
      </w:r>
      <w:r>
        <w:rPr>
          <w:rFonts w:ascii="Times New Roman" w:hAnsi="Times New Roman" w:eastAsia="方正小标宋简体"/>
          <w:sz w:val="44"/>
          <w:szCs w:val="44"/>
        </w:rPr>
        <w:t>政府性基金预算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转移支付预算情况的说明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2022</w:t>
      </w:r>
      <w:r>
        <w:rPr>
          <w:rFonts w:ascii="Times New Roman" w:hAnsi="Times New Roman" w:eastAsia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无</w:t>
      </w:r>
      <w:r>
        <w:rPr>
          <w:rFonts w:ascii="Times New Roman" w:hAnsi="Times New Roman" w:eastAsia="仿宋_GB2312"/>
          <w:sz w:val="32"/>
          <w:szCs w:val="32"/>
          <w:highlight w:val="none"/>
        </w:rPr>
        <w:t>对下政府性基金预算转移支付。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1-5：</w:t>
      </w:r>
    </w:p>
    <w:p>
      <w:pPr>
        <w:spacing w:line="600" w:lineRule="exact"/>
        <w:jc w:val="left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关于</w:t>
      </w:r>
      <w:r>
        <w:rPr>
          <w:rFonts w:hint="eastAsia" w:ascii="方正小标宋简体" w:hAnsi="Times New Roman" w:eastAsia="方正小标宋简体"/>
          <w:sz w:val="44"/>
          <w:szCs w:val="44"/>
        </w:rPr>
        <w:t>2022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济南市对章丘区国有资本经营预算</w:t>
      </w:r>
      <w:r>
        <w:rPr>
          <w:rFonts w:ascii="Times New Roman" w:hAnsi="Times New Roman" w:eastAsia="方正小标宋简体"/>
          <w:sz w:val="44"/>
          <w:szCs w:val="44"/>
        </w:rPr>
        <w:t>转移支付预算情况的说明</w:t>
      </w:r>
    </w:p>
    <w:p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济南市</w:t>
      </w:r>
      <w:r>
        <w:rPr>
          <w:rFonts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章丘区</w:t>
      </w:r>
      <w:r>
        <w:rPr>
          <w:rFonts w:ascii="Times New Roman" w:hAnsi="Times New Roman" w:eastAsia="仿宋_GB2312" w:cs="Times New Roman"/>
          <w:sz w:val="32"/>
          <w:szCs w:val="32"/>
        </w:rPr>
        <w:t>国有资本经营预算转移支付预算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1-6：</w:t>
      </w:r>
    </w:p>
    <w:p>
      <w:pPr>
        <w:spacing w:line="600" w:lineRule="exact"/>
        <w:jc w:val="left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关于</w:t>
      </w:r>
      <w:r>
        <w:rPr>
          <w:rFonts w:hint="eastAsia" w:ascii="方正小标宋简体" w:hAnsi="Times New Roman" w:eastAsia="方正小标宋简体"/>
          <w:sz w:val="44"/>
          <w:szCs w:val="44"/>
        </w:rPr>
        <w:t>2022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区对下国有资本经营预算</w:t>
      </w:r>
      <w:r>
        <w:rPr>
          <w:rFonts w:ascii="Times New Roman" w:hAnsi="Times New Roman" w:eastAsia="方正小标宋简体"/>
          <w:sz w:val="44"/>
          <w:szCs w:val="44"/>
        </w:rPr>
        <w:t>转移支付预算情况的说明</w:t>
      </w:r>
    </w:p>
    <w:p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2022年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对下国有资本经营预算转移支付。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spacing w:line="600" w:lineRule="exact"/>
        <w:jc w:val="left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地方政府债务2021年执行及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yellow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2022年预算有关情况的说明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一、2021年全区地方政府债务限额情况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经国务院批准，上级核定章丘区2021年地方政府债务限额1520490万元。其中，新增债务限额323600万元。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二、2021年全区地方政府债务举借情况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2021年全区共发行政府债券435206万元，其中：新增债券323600万元，全部为新增专项债券；再融资债券111606万元，包含再融资一般债券46326万元、再融资专项债券65280万元。截至 2021年底，全区政府债务余额1421051万元，其中一般债务余额158905万元、专项债务余额1262146万元。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国务院关于加强地方政府性债务管理的意见》（国发〔2014〕43号）、《财政部关于对地方政府债务实行限额管理的实施意见》（财预〔2015〕225号）和《财政部关于印发&lt;地方政府债务信息公开办法（试行）&gt;的通知》（财预〔2018〕209号）等规定，2021年历次发行政府债券举借政府债务的相关信息，均已按规定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三、2022年全区政府债务收支计划情况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2022年全区政府债务收入343980万元。其中，预计发行新增政府债券收入300000万元，全部为新增专项债券；发行再融资债券收入43980万元，其中再融资一般债券收入16629万元、再融资专项债券27351万元。预计全区政府债务支出安排343980万元。其中，新增一般债券项目支出0万元，新增专项债券项目支出300000万元，在融资债券还本支出43980万元。另外预算内资金安排到期债务还本支出4887万元，其中一般公共预算安排一般债务还本1848万元、政府性基金预算安排专项债务还本支出3039万元。按照上述安排，以2021年末全区政府债务余额为基数，加上2022年政府债务收入，减去2022年债务还本支出后，预计2022年末全区政府债务余额为1716164万元。此外，2022年全区预算需安排债务利息支出53295万元，其中一般债务付息5700万元、专项债务付息47595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四、2022年区本级政府债务收支计划情况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2022年区本级政府债务收入343980万元。其中，预计发行新增政府债券收入300000万元，全部为新增专项债券；发行再融资债券收入43980万元，其中再融资一般债券收入16629万元、再融资专项债券27351万元。预计区本级政府债务支出安排343980万元。其中，新增一般债券项目支出0万元，新增专项债券项目支出300000万元，在融资债券还本支出43980万元。另外预算内资金安排到期债务还本支出4887万元，其中一般公共预算安排一般债务还本1848万元、政府性基金预算安排专项债务还本支出3039万元。按照上述安排，以2021年末区本级政府债务余额为基数，加上2022年政府债务收入，减去2022年债务还本支出后，预计2022年末区本级政府债务余额为1716164万元。此外，2022年区本级预算需安排债务利息支出53295万元，其中一般债务付息5700万元、专项债务付息47595万元。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说明3：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2022年区本级三公经费情况说明</w:t>
      </w:r>
    </w:p>
    <w:p>
      <w:pPr>
        <w:rPr>
          <w:rFonts w:hint="eastAsia"/>
          <w:lang w:val="en-US" w:eastAsia="zh-CN"/>
        </w:rPr>
      </w:pP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PO_part2Public_Year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年本级财政拨款安排“三公”经费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1470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，比上年</w:t>
      </w:r>
      <w:bookmarkStart w:id="1" w:name="PO_part2Public_Compare"/>
      <w:r>
        <w:rPr>
          <w:rFonts w:hint="eastAsia" w:ascii="仿宋_GB2312" w:hAnsi="仿宋_GB2312" w:eastAsia="仿宋_GB2312" w:cs="仿宋_GB2312"/>
          <w:sz w:val="32"/>
          <w:szCs w:val="32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bookmarkStart w:id="2" w:name="PO_part2Public_Reason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，原因是严格落实过紧日子要求，大力压减行政运行成本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其中：因公出国（境）支出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3" w:name="PO_part2PublicAbroad_Reason"/>
      <w:r>
        <w:rPr>
          <w:rFonts w:hint="eastAsia" w:ascii="仿宋_GB2312" w:hAnsi="仿宋_GB2312" w:eastAsia="仿宋_GB2312" w:cs="仿宋_GB2312"/>
          <w:sz w:val="32"/>
          <w:szCs w:val="32"/>
        </w:rPr>
        <w:t>较上年持平，无增减变化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；公务用车购置及运行维护支出</w:t>
      </w:r>
      <w:bookmarkStart w:id="4" w:name="PO_part2PublicCar_Amount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1236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万元，比上年减少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167万元，其中：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，较上年持平，无增减变化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万元，比上年减少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167万元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5" w:name="PO_part2PublicCar_Reason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主要是公务用车数量减少，车辆维修维护费用相应减少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；公务接待费支出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，比上年</w:t>
      </w:r>
      <w:bookmarkStart w:id="6" w:name="PO_part2PublicRecept_Compare"/>
      <w:r>
        <w:rPr>
          <w:rFonts w:hint="eastAsia" w:ascii="仿宋_GB2312" w:hAnsi="仿宋_GB2312" w:eastAsia="仿宋_GB2312" w:cs="仿宋_GB2312"/>
          <w:sz w:val="32"/>
          <w:szCs w:val="32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7" w:name="PO_part2PublicRecept_Reason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主要是各部门认真贯彻落实厉行节约有关规定，进一步压减公务接待活动经费开支规模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  <w:bookmarkEnd w:id="7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说明4：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-2400300</wp:posOffset>
                </wp:positionH>
                <wp:positionV relativeFrom="paragraph">
                  <wp:posOffset>-99060</wp:posOffset>
                </wp:positionV>
                <wp:extent cx="113665" cy="99060"/>
                <wp:effectExtent l="4445" t="4445" r="1524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"/>
                              <w:tblW w:w="324" w:type="dxa"/>
                              <w:tblInd w:w="18" w:type="dxa"/>
                              <w:tblBorders>
                                <w:top w:val="single" w:color="FFFFFF" w:sz="4" w:space="0"/>
                                <w:left w:val="single" w:color="FFFFFF" w:sz="4" w:space="0"/>
                                <w:bottom w:val="single" w:color="FFFFFF" w:sz="4" w:space="0"/>
                                <w:right w:val="single" w:color="FFFFFF" w:sz="4" w:space="0"/>
                                <w:insideH w:val="single" w:color="FFFFFF" w:sz="4" w:space="0"/>
                                <w:insideV w:val="single" w:color="FFFFFF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24"/>
                            </w:tblGrid>
                            <w:tr>
                              <w:tblPrEx>
                                <w:tblBorders>
                                  <w:top w:val="single" w:color="FFFFFF" w:sz="4" w:space="0"/>
                                  <w:left w:val="single" w:color="FFFFFF" w:sz="4" w:space="0"/>
                                  <w:bottom w:val="single" w:color="FFFFFF" w:sz="4" w:space="0"/>
                                  <w:right w:val="single" w:color="FFFFFF" w:sz="4" w:space="0"/>
                                  <w:insideH w:val="single" w:color="FFFFFF" w:sz="4" w:space="0"/>
                                  <w:insideV w:val="single" w:color="FFFFFF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324" w:type="dxa"/>
                                  <w:tcBorders>
                                    <w:top w:val="single" w:color="FFFFFF" w:sz="4" w:space="0"/>
                                    <w:left w:val="single" w:color="FFFFFF" w:sz="4" w:space="0"/>
                                    <w:bottom w:val="single" w:color="FFFFFF" w:sz="4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9pt;margin-top:-7.8pt;height:7.8pt;width:8.95pt;z-index:251659264;mso-width-relative:page;mso-height-relative:page;" fillcolor="#FFFFFF" filled="t" stroked="t" coordsize="21600,21600" o:gfxdata="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/sJGNoAAAAKAQAADwAAAAAAAAAB&#10;ACAAAAAiAAAAZHJzL2Rvd25yZXYueG1sUEsBAhQAFAAAAAgAh07iQIZSaa8OAgAAQg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tbl>
                      <w:tblPr>
                        <w:tblStyle w:val="2"/>
                        <w:tblW w:w="324" w:type="dxa"/>
                        <w:tblInd w:w="18" w:type="dxa"/>
                        <w:tblBorders>
                          <w:top w:val="single" w:color="FFFFFF" w:sz="4" w:space="0"/>
                          <w:left w:val="single" w:color="FFFFFF" w:sz="4" w:space="0"/>
                          <w:bottom w:val="single" w:color="FFFFFF" w:sz="4" w:space="0"/>
                          <w:right w:val="single" w:color="FFFFFF" w:sz="4" w:space="0"/>
                          <w:insideH w:val="single" w:color="FFFFFF" w:sz="4" w:space="0"/>
                          <w:insideV w:val="single" w:color="FFFFFF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24"/>
                      </w:tblGrid>
                      <w:tr>
                        <w:tblPrEx>
                          <w:tblBorders>
                            <w:top w:val="single" w:color="FFFFFF" w:sz="4" w:space="0"/>
                            <w:left w:val="single" w:color="FFFFFF" w:sz="4" w:space="0"/>
                            <w:bottom w:val="single" w:color="FFFFFF" w:sz="4" w:space="0"/>
                            <w:right w:val="single" w:color="FFFFFF" w:sz="4" w:space="0"/>
                            <w:insideH w:val="single" w:color="FFFFFF" w:sz="4" w:space="0"/>
                            <w:insideV w:val="single" w:color="FFFFFF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0" w:hRule="atLeast"/>
                        </w:trPr>
                        <w:tc>
                          <w:tcPr>
                            <w:tcW w:w="324" w:type="dxa"/>
                            <w:tcBorders>
                              <w:top w:val="single" w:color="FFFFFF" w:sz="4" w:space="0"/>
                              <w:left w:val="single" w:color="FFFFFF" w:sz="4" w:space="0"/>
                              <w:bottom w:val="single" w:color="FFFFFF" w:sz="4" w:space="0"/>
                              <w:right w:val="nil"/>
                            </w:tcBorders>
                          </w:tcPr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w:t>关于2021年章丘区预算绩效管理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工作开展情况的说明</w:t>
      </w: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2021年，是深化预算管理制度改革的关键之年，也是章丘区全面推进预算绩效管理的攻坚之年，按照省、 市“预算绩效管理扩围提质年”活动要求,章丘区基本建成“全方位、全过程、全覆盖”的预算绩效管理体系，预算绩效管理工作稳步推进，预算绩效管理改革取得明显成效。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一、基础制度体系不断完善。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一是加快构建标准科学、制度完备、规范 高效的绩效管理基础支撑体系，</w:t>
      </w:r>
      <w:r>
        <w:rPr>
          <w:rFonts w:hint="eastAsia" w:ascii="仿宋_GB2312" w:hAnsi="仿宋_GB2312" w:eastAsia="仿宋_GB2312" w:cs="仿宋_GB2312"/>
          <w:sz w:val="32"/>
          <w:szCs w:val="32"/>
        </w:rPr>
        <w:t>“1+2+N”的制度框架基本搭建完毕；二是宣传培训不断加强，开展各类培训及业务学习交流4次，参训人数达到800人次；积极进行宣传报道，分别被人民网、新华网、大众网等中央、省级媒体报道10余次，营造良好的绩效管理工作氛围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二、事前评估和绩效目标管理不断强化。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按照预算编制要求，开展项目库入库评审。对事前评估不过关、绩效目标不明确、预期效果不明显的项目实行一票否决，不予入库，累计完成评审项目430个，评审金额达到24.51亿元，废除项目16个，压减金额达到1843万元；二是绩效目标管理范围、规模进一步扩大，编报质量进一步提升。一般公共预算、政府性基金预算、国有资本经营预算总计341个年初项目全部编制绩效目标，并按要求与部门预算同步批复、同步公开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三、事中监控及事后评价质量不断提高。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2021年，组织对所有项目跟踪监控及自评进行全面审核和辅导,进一步压实部门单位绩效管理主体责任，提高自评及监控真实性和有效性。全区选取30个重大政策和项目开展财政重点绩效评价，项目金额合计3.48亿元，涉及23个区级预算部门（单位），辐射农业、水利、环保、卫生健康等领域，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自评情况及重点评价情况随政府及部门决算同步公开。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四是各项特色试点工作不断推进。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2021年部门整体绩效管理先试点后全面，以点带面，实现整体绩效目标编报和评价全覆盖，并探索开展部门整体财政重点评价；二是试点开展政府财政运行综合绩效管理，将章丘区垛庄镇作为政府财政运行综合绩效管理试点，以此引导高质量发展，不断提高收入质量、优化支出结构，提高财政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资源配置效率；三是项目成本效益分析、重大政策和项目全周期跟踪问效等试点工作按时完成，实现预期效果，为下一步由点及面、全面铺开奠定坚实基础。</w:t>
      </w:r>
    </w:p>
    <w:p>
      <w:pPr>
        <w:snapToGrid w:val="0"/>
        <w:spacing w:line="360" w:lineRule="auto"/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 xml:space="preserve">  </w:t>
      </w:r>
    </w:p>
    <w:sectPr>
      <w:pgSz w:w="11906" w:h="16838"/>
      <w:pgMar w:top="2041" w:right="1701" w:bottom="204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35F2C"/>
    <w:multiLevelType w:val="singleLevel"/>
    <w:tmpl w:val="C5835F2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N2YwYmE2Yzk4NzUyZjFiMTIxMTBmZGZlOTBhYjEifQ=="/>
  </w:docVars>
  <w:rsids>
    <w:rsidRoot w:val="00000000"/>
    <w:rsid w:val="032F6AFA"/>
    <w:rsid w:val="04A16A38"/>
    <w:rsid w:val="04A26E12"/>
    <w:rsid w:val="0FDC0106"/>
    <w:rsid w:val="180A182C"/>
    <w:rsid w:val="19CB3549"/>
    <w:rsid w:val="1DDB517B"/>
    <w:rsid w:val="22287BC2"/>
    <w:rsid w:val="22747992"/>
    <w:rsid w:val="230D069C"/>
    <w:rsid w:val="25F735EF"/>
    <w:rsid w:val="26A01A47"/>
    <w:rsid w:val="26AF3844"/>
    <w:rsid w:val="26C00441"/>
    <w:rsid w:val="2CD074B8"/>
    <w:rsid w:val="2F0C45B5"/>
    <w:rsid w:val="308D2AC5"/>
    <w:rsid w:val="32236AEA"/>
    <w:rsid w:val="354B3EFD"/>
    <w:rsid w:val="360A5A97"/>
    <w:rsid w:val="37B019BA"/>
    <w:rsid w:val="38167D86"/>
    <w:rsid w:val="3ACE0D0C"/>
    <w:rsid w:val="3EBC1BFD"/>
    <w:rsid w:val="3F3379BD"/>
    <w:rsid w:val="44E242AA"/>
    <w:rsid w:val="453F6387"/>
    <w:rsid w:val="4D710BAC"/>
    <w:rsid w:val="50CB05D3"/>
    <w:rsid w:val="51782E4A"/>
    <w:rsid w:val="51DC37D8"/>
    <w:rsid w:val="521E0CC9"/>
    <w:rsid w:val="553E011F"/>
    <w:rsid w:val="5C02014A"/>
    <w:rsid w:val="60D316CE"/>
    <w:rsid w:val="629004F8"/>
    <w:rsid w:val="681E586F"/>
    <w:rsid w:val="68616DF2"/>
    <w:rsid w:val="6D5E2222"/>
    <w:rsid w:val="6FC44B3F"/>
    <w:rsid w:val="73D035F9"/>
    <w:rsid w:val="7D5378EA"/>
    <w:rsid w:val="7E8C4C69"/>
    <w:rsid w:val="7EF3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3271</Words>
  <Characters>3744</Characters>
  <Lines>0</Lines>
  <Paragraphs>0</Paragraphs>
  <TotalTime>29</TotalTime>
  <ScaleCrop>false</ScaleCrop>
  <LinksUpToDate>false</LinksUpToDate>
  <CharactersWithSpaces>3761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枫丹白露</cp:lastModifiedBy>
  <dcterms:modified xsi:type="dcterms:W3CDTF">2022-03-10T02:34:53Z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94BEAFB45A4A411AA451FBBCB41F84E9</vt:lpwstr>
  </property>
</Properties>
</file>